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E954" w14:textId="736B20AF" w:rsidR="00062A03" w:rsidRPr="00232714" w:rsidRDefault="00062A03" w:rsidP="00062A03">
      <w:pPr>
        <w:jc w:val="center"/>
        <w:rPr>
          <w:b/>
          <w:sz w:val="28"/>
          <w:szCs w:val="28"/>
          <w:u w:val="single"/>
        </w:rPr>
      </w:pPr>
      <w:r w:rsidRPr="00232714">
        <w:rPr>
          <w:b/>
          <w:noProof/>
          <w:color w:val="FF0000"/>
          <w:sz w:val="28"/>
          <w:szCs w:val="28"/>
        </w:rPr>
        <w:drawing>
          <wp:anchor distT="0" distB="0" distL="114300" distR="114300" simplePos="0" relativeHeight="251659264" behindDoc="0" locked="0" layoutInCell="1" allowOverlap="1" wp14:anchorId="52C82065" wp14:editId="066CB0AD">
            <wp:simplePos x="0" y="0"/>
            <wp:positionH relativeFrom="margin">
              <wp:align>left</wp:align>
            </wp:positionH>
            <wp:positionV relativeFrom="paragraph">
              <wp:posOffset>27940</wp:posOffset>
            </wp:positionV>
            <wp:extent cx="78105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822960"/>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28"/>
          <w:szCs w:val="28"/>
          <w:u w:val="single"/>
        </w:rPr>
        <w:t>20</w:t>
      </w:r>
      <w:r w:rsidR="00382C17">
        <w:rPr>
          <w:b/>
          <w:color w:val="FF0000"/>
          <w:sz w:val="28"/>
          <w:szCs w:val="28"/>
          <w:u w:val="single"/>
        </w:rPr>
        <w:t>22</w:t>
      </w:r>
      <w:r w:rsidRPr="00232714">
        <w:rPr>
          <w:b/>
          <w:color w:val="FF0000"/>
          <w:sz w:val="28"/>
          <w:szCs w:val="28"/>
          <w:u w:val="single"/>
        </w:rPr>
        <w:t xml:space="preserve"> RESIDENTIAL LIGHTING STANDARDS</w:t>
      </w:r>
    </w:p>
    <w:p w14:paraId="11D0E5E0" w14:textId="2051E0BA" w:rsidR="00242A5D" w:rsidRDefault="00FD4E81" w:rsidP="00062A03">
      <w:pPr>
        <w:rPr>
          <w:sz w:val="16"/>
          <w:szCs w:val="16"/>
        </w:rPr>
      </w:pPr>
      <w:r>
        <w:rPr>
          <w:sz w:val="16"/>
          <w:szCs w:val="16"/>
        </w:rPr>
        <w:t>E</w:t>
      </w:r>
      <w:r w:rsidRPr="00C352C7">
        <w:rPr>
          <w:sz w:val="16"/>
          <w:szCs w:val="16"/>
        </w:rPr>
        <w:t>ffective on Jan 1, 202</w:t>
      </w:r>
      <w:r>
        <w:rPr>
          <w:sz w:val="16"/>
          <w:szCs w:val="16"/>
        </w:rPr>
        <w:t>3,</w:t>
      </w:r>
      <w:r w:rsidRPr="00C352C7">
        <w:rPr>
          <w:sz w:val="16"/>
          <w:szCs w:val="16"/>
        </w:rPr>
        <w:t xml:space="preserve"> </w:t>
      </w:r>
      <w:r>
        <w:rPr>
          <w:sz w:val="16"/>
          <w:szCs w:val="16"/>
        </w:rPr>
        <w:t>t</w:t>
      </w:r>
      <w:r w:rsidR="00062A03" w:rsidRPr="00C352C7">
        <w:rPr>
          <w:sz w:val="16"/>
          <w:szCs w:val="16"/>
        </w:rPr>
        <w:t xml:space="preserve">he </w:t>
      </w:r>
      <w:r>
        <w:rPr>
          <w:sz w:val="16"/>
          <w:szCs w:val="16"/>
        </w:rPr>
        <w:t xml:space="preserve">new </w:t>
      </w:r>
      <w:r w:rsidR="00062A03" w:rsidRPr="00C352C7">
        <w:rPr>
          <w:sz w:val="16"/>
          <w:szCs w:val="16"/>
        </w:rPr>
        <w:t>20</w:t>
      </w:r>
      <w:r w:rsidR="00382C17">
        <w:rPr>
          <w:sz w:val="16"/>
          <w:szCs w:val="16"/>
        </w:rPr>
        <w:t>22</w:t>
      </w:r>
      <w:r w:rsidR="00062A03" w:rsidRPr="00C352C7">
        <w:rPr>
          <w:sz w:val="16"/>
          <w:szCs w:val="16"/>
        </w:rPr>
        <w:t xml:space="preserve"> Energy Standards requires that ALL lighting in residential buildings</w:t>
      </w:r>
      <w:r w:rsidR="000B58B0">
        <w:rPr>
          <w:sz w:val="16"/>
          <w:szCs w:val="16"/>
        </w:rPr>
        <w:t xml:space="preserve"> </w:t>
      </w:r>
      <w:r w:rsidR="00247C21">
        <w:rPr>
          <w:sz w:val="16"/>
          <w:szCs w:val="16"/>
        </w:rPr>
        <w:t>including</w:t>
      </w:r>
      <w:r w:rsidR="000B58B0">
        <w:rPr>
          <w:sz w:val="16"/>
          <w:szCs w:val="16"/>
        </w:rPr>
        <w:t xml:space="preserve"> single-family residential, </w:t>
      </w:r>
      <w:r w:rsidR="00CD566B">
        <w:rPr>
          <w:sz w:val="16"/>
          <w:szCs w:val="16"/>
        </w:rPr>
        <w:t xml:space="preserve">duplex, </w:t>
      </w:r>
      <w:r w:rsidR="00247C21">
        <w:rPr>
          <w:sz w:val="16"/>
          <w:szCs w:val="16"/>
        </w:rPr>
        <w:t xml:space="preserve">residential garage, </w:t>
      </w:r>
      <w:r w:rsidR="00D6060A">
        <w:rPr>
          <w:sz w:val="16"/>
          <w:szCs w:val="16"/>
        </w:rPr>
        <w:t xml:space="preserve">townhouse, </w:t>
      </w:r>
      <w:r w:rsidR="000B58B0">
        <w:rPr>
          <w:sz w:val="16"/>
          <w:szCs w:val="16"/>
        </w:rPr>
        <w:t xml:space="preserve">multi-family dwelling units, </w:t>
      </w:r>
      <w:r w:rsidR="00062A03" w:rsidRPr="00C352C7">
        <w:rPr>
          <w:sz w:val="16"/>
          <w:szCs w:val="16"/>
        </w:rPr>
        <w:t>high-rise residential dwelling units be high efficacy. The following is summary for residential building</w:t>
      </w:r>
      <w:r w:rsidR="000B58B0">
        <w:rPr>
          <w:sz w:val="16"/>
          <w:szCs w:val="16"/>
        </w:rPr>
        <w:t>s</w:t>
      </w:r>
      <w:r w:rsidR="00062A03" w:rsidRPr="00C352C7">
        <w:rPr>
          <w:sz w:val="16"/>
          <w:szCs w:val="16"/>
        </w:rPr>
        <w:t xml:space="preserve"> mandatory lighting requirements from 20</w:t>
      </w:r>
      <w:r w:rsidR="00382C17">
        <w:rPr>
          <w:sz w:val="16"/>
          <w:szCs w:val="16"/>
        </w:rPr>
        <w:t>22</w:t>
      </w:r>
      <w:r w:rsidR="00062A03" w:rsidRPr="00C352C7">
        <w:rPr>
          <w:sz w:val="16"/>
          <w:szCs w:val="16"/>
        </w:rPr>
        <w:t xml:space="preserve"> California Energy Code </w:t>
      </w:r>
      <w:r w:rsidR="000004D1">
        <w:rPr>
          <w:sz w:val="16"/>
          <w:szCs w:val="16"/>
        </w:rPr>
        <w:t>S</w:t>
      </w:r>
      <w:r w:rsidR="00062A03" w:rsidRPr="00C352C7">
        <w:rPr>
          <w:sz w:val="16"/>
          <w:szCs w:val="16"/>
        </w:rPr>
        <w:t>ection</w:t>
      </w:r>
      <w:r w:rsidR="000B58B0">
        <w:rPr>
          <w:sz w:val="16"/>
          <w:szCs w:val="16"/>
        </w:rPr>
        <w:t>s</w:t>
      </w:r>
      <w:r w:rsidR="00062A03" w:rsidRPr="00C352C7">
        <w:rPr>
          <w:sz w:val="16"/>
          <w:szCs w:val="16"/>
        </w:rPr>
        <w:t xml:space="preserve"> 150.0(k) </w:t>
      </w:r>
      <w:r w:rsidR="000B58B0">
        <w:rPr>
          <w:sz w:val="16"/>
          <w:szCs w:val="16"/>
        </w:rPr>
        <w:t xml:space="preserve">&amp; 160.5 </w:t>
      </w:r>
      <w:r w:rsidR="00062A03" w:rsidRPr="00C352C7">
        <w:rPr>
          <w:sz w:val="16"/>
          <w:szCs w:val="16"/>
        </w:rPr>
        <w:t>(</w:t>
      </w:r>
      <w:r w:rsidRPr="00C352C7">
        <w:rPr>
          <w:sz w:val="16"/>
          <w:szCs w:val="16"/>
        </w:rPr>
        <w:t xml:space="preserve">for more details </w:t>
      </w:r>
      <w:r w:rsidR="00062A03" w:rsidRPr="00C352C7">
        <w:rPr>
          <w:sz w:val="16"/>
          <w:szCs w:val="16"/>
        </w:rPr>
        <w:t xml:space="preserve">see </w:t>
      </w:r>
      <w:hyperlink r:id="rId9" w:history="1">
        <w:r w:rsidRPr="00FD4E81">
          <w:rPr>
            <w:rStyle w:val="Hyperlink"/>
            <w:sz w:val="16"/>
            <w:szCs w:val="16"/>
          </w:rPr>
          <w:t>https://www.energy.ca.gov/sites/default/files/2022-08/CEC-400-2022-010_CMF.pdf</w:t>
        </w:r>
      </w:hyperlink>
      <w:r w:rsidR="00062A03" w:rsidRPr="00C352C7">
        <w:rPr>
          <w:sz w:val="16"/>
          <w:szCs w:val="16"/>
        </w:rPr>
        <w:t>).</w:t>
      </w:r>
      <w:r w:rsidR="00062A03">
        <w:rPr>
          <w:sz w:val="16"/>
          <w:szCs w:val="16"/>
        </w:rPr>
        <w:t xml:space="preserve"> </w:t>
      </w:r>
    </w:p>
    <w:p w14:paraId="0027040F" w14:textId="77777777" w:rsidR="00816910" w:rsidRPr="007A367B" w:rsidRDefault="00816910" w:rsidP="00062A03">
      <w:pPr>
        <w:rPr>
          <w:sz w:val="16"/>
          <w:szCs w:val="16"/>
        </w:rPr>
      </w:pPr>
    </w:p>
    <w:tbl>
      <w:tblPr>
        <w:tblStyle w:val="TableGrid"/>
        <w:tblW w:w="10525" w:type="dxa"/>
        <w:tblLook w:val="04A0" w:firstRow="1" w:lastRow="0" w:firstColumn="1" w:lastColumn="0" w:noHBand="0" w:noVBand="1"/>
      </w:tblPr>
      <w:tblGrid>
        <w:gridCol w:w="2155"/>
        <w:gridCol w:w="8370"/>
      </w:tblGrid>
      <w:tr w:rsidR="00062A03" w14:paraId="32A63167" w14:textId="77777777" w:rsidTr="002F2AF3">
        <w:trPr>
          <w:trHeight w:val="620"/>
        </w:trPr>
        <w:tc>
          <w:tcPr>
            <w:tcW w:w="2155" w:type="dxa"/>
            <w:tcBorders>
              <w:top w:val="single" w:sz="4" w:space="0" w:color="FFFFFF" w:themeColor="background1"/>
              <w:left w:val="single" w:sz="4" w:space="0" w:color="FFFFFF" w:themeColor="background1"/>
              <w:bottom w:val="double" w:sz="4" w:space="0" w:color="auto"/>
              <w:right w:val="single" w:sz="4" w:space="0" w:color="FFFFFF" w:themeColor="background1"/>
            </w:tcBorders>
            <w:shd w:val="clear" w:color="auto" w:fill="3B3838" w:themeFill="background2" w:themeFillShade="40"/>
            <w:vAlign w:val="center"/>
          </w:tcPr>
          <w:p w14:paraId="7882C1B3" w14:textId="77777777" w:rsidR="00300FA8" w:rsidRPr="003D42C6" w:rsidRDefault="003D42C6" w:rsidP="003D42C6">
            <w:pPr>
              <w:jc w:val="center"/>
              <w:rPr>
                <w:b/>
                <w:color w:val="FFFFFF" w:themeColor="background1"/>
              </w:rPr>
            </w:pPr>
            <w:r>
              <w:rPr>
                <w:b/>
                <w:color w:val="FFFFFF" w:themeColor="background1"/>
              </w:rPr>
              <w:t>RESIDENTIAL APPLICATION</w:t>
            </w:r>
          </w:p>
        </w:tc>
        <w:tc>
          <w:tcPr>
            <w:tcW w:w="8370" w:type="dxa"/>
            <w:tcBorders>
              <w:top w:val="single" w:sz="4" w:space="0" w:color="FFFFFF" w:themeColor="background1"/>
              <w:left w:val="single" w:sz="4" w:space="0" w:color="FFFFFF" w:themeColor="background1"/>
              <w:bottom w:val="double" w:sz="4" w:space="0" w:color="auto"/>
              <w:right w:val="single" w:sz="4" w:space="0" w:color="FFFFFF" w:themeColor="background1"/>
            </w:tcBorders>
            <w:shd w:val="clear" w:color="auto" w:fill="3B3838" w:themeFill="background2" w:themeFillShade="40"/>
            <w:vAlign w:val="center"/>
          </w:tcPr>
          <w:p w14:paraId="4B4DDD7F" w14:textId="77777777" w:rsidR="00062A03" w:rsidRDefault="00AE7BFC" w:rsidP="002F2AF3">
            <w:pPr>
              <w:jc w:val="center"/>
              <w:rPr>
                <w:b/>
                <w:color w:val="FFFFFF" w:themeColor="background1"/>
              </w:rPr>
            </w:pPr>
            <w:r>
              <w:rPr>
                <w:b/>
                <w:color w:val="FFFFFF" w:themeColor="background1"/>
              </w:rPr>
              <w:t xml:space="preserve">LUMINAIRE </w:t>
            </w:r>
            <w:r w:rsidR="00300FA8" w:rsidRPr="00300FA8">
              <w:rPr>
                <w:b/>
                <w:color w:val="FFFFFF" w:themeColor="background1"/>
              </w:rPr>
              <w:t>REQUIREMENTS</w:t>
            </w:r>
          </w:p>
          <w:p w14:paraId="05373984" w14:textId="77777777" w:rsidR="00300FA8" w:rsidRPr="00300FA8" w:rsidRDefault="00300FA8" w:rsidP="003D42C6">
            <w:pPr>
              <w:jc w:val="center"/>
              <w:rPr>
                <w:b/>
              </w:rPr>
            </w:pPr>
          </w:p>
        </w:tc>
      </w:tr>
      <w:tr w:rsidR="00062A03" w:rsidRPr="002F2AF3" w14:paraId="4D68AC91" w14:textId="77777777" w:rsidTr="002F2AF3">
        <w:trPr>
          <w:trHeight w:val="1070"/>
        </w:trPr>
        <w:tc>
          <w:tcPr>
            <w:tcW w:w="2155" w:type="dxa"/>
            <w:tcBorders>
              <w:top w:val="double" w:sz="4" w:space="0" w:color="auto"/>
            </w:tcBorders>
            <w:shd w:val="clear" w:color="auto" w:fill="E7E6E6" w:themeFill="background2"/>
          </w:tcPr>
          <w:p w14:paraId="71D0E379" w14:textId="7EBDB6BF" w:rsidR="001C6AA5" w:rsidRPr="00DD0F9B" w:rsidRDefault="001C6AA5" w:rsidP="00242A5D">
            <w:pPr>
              <w:rPr>
                <w:b/>
                <w:bCs/>
                <w:color w:val="FF0000"/>
                <w:sz w:val="18"/>
                <w:szCs w:val="18"/>
              </w:rPr>
            </w:pPr>
            <w:r w:rsidRPr="00DD0F9B">
              <w:rPr>
                <w:b/>
                <w:bCs/>
                <w:color w:val="FF0000"/>
                <w:sz w:val="18"/>
                <w:szCs w:val="18"/>
              </w:rPr>
              <w:t>HABITABLE SPACES</w:t>
            </w:r>
          </w:p>
          <w:p w14:paraId="369AE4FF" w14:textId="75B37F4E" w:rsidR="00062A03" w:rsidRPr="00DD0F9B" w:rsidRDefault="001C6AA5" w:rsidP="00242A5D">
            <w:pPr>
              <w:rPr>
                <w:color w:val="FF0000"/>
                <w:sz w:val="18"/>
                <w:szCs w:val="18"/>
              </w:rPr>
            </w:pPr>
            <w:r w:rsidRPr="00DD0F9B">
              <w:rPr>
                <w:b/>
                <w:bCs/>
                <w:color w:val="FF0000"/>
                <w:sz w:val="18"/>
                <w:szCs w:val="18"/>
              </w:rPr>
              <w:t>(Living rooms, dining rooms, kitchens, and bedrooms)</w:t>
            </w:r>
          </w:p>
        </w:tc>
        <w:tc>
          <w:tcPr>
            <w:tcW w:w="8370" w:type="dxa"/>
            <w:tcBorders>
              <w:top w:val="double" w:sz="4" w:space="0" w:color="auto"/>
            </w:tcBorders>
          </w:tcPr>
          <w:p w14:paraId="153AC02A" w14:textId="77777777" w:rsidR="001C6AA5" w:rsidRPr="002F2AF3" w:rsidRDefault="001C6AA5" w:rsidP="001C6AA5">
            <w:pPr>
              <w:rPr>
                <w:rFonts w:cs="TimesNewRomanPSMT"/>
                <w:sz w:val="18"/>
                <w:szCs w:val="18"/>
              </w:rPr>
            </w:pPr>
            <w:r w:rsidRPr="002F2AF3">
              <w:rPr>
                <w:rFonts w:cs="TimesNewRomanPSMT"/>
                <w:sz w:val="18"/>
                <w:szCs w:val="18"/>
              </w:rPr>
              <w:t xml:space="preserve">Shall be high efficacy AND shall have readily accessible wall-mounted dimming controls. </w:t>
            </w:r>
          </w:p>
          <w:p w14:paraId="74D085E4" w14:textId="77777777" w:rsidR="001F6DA0" w:rsidRPr="002F2AF3" w:rsidRDefault="001C6AA5" w:rsidP="001C6AA5">
            <w:pPr>
              <w:rPr>
                <w:rFonts w:cs="TimesNewRomanPSMT"/>
                <w:sz w:val="18"/>
                <w:szCs w:val="18"/>
              </w:rPr>
            </w:pPr>
            <w:r w:rsidRPr="002F2AF3">
              <w:rPr>
                <w:rFonts w:cs="TimesNewRomanPSMT"/>
                <w:sz w:val="18"/>
                <w:szCs w:val="18"/>
              </w:rPr>
              <w:t xml:space="preserve">Exceptions: </w:t>
            </w:r>
          </w:p>
          <w:p w14:paraId="6661B4F9" w14:textId="6B309092" w:rsidR="003D42C6" w:rsidRPr="00816910" w:rsidRDefault="00FB0C34" w:rsidP="00816910">
            <w:pPr>
              <w:pStyle w:val="ListParagraph"/>
              <w:numPr>
                <w:ilvl w:val="0"/>
                <w:numId w:val="11"/>
              </w:numPr>
              <w:rPr>
                <w:rFonts w:cs="TimesNewRomanPSMT"/>
                <w:sz w:val="18"/>
                <w:szCs w:val="18"/>
              </w:rPr>
            </w:pPr>
            <w:r>
              <w:rPr>
                <w:rFonts w:cs="TimesNewRomanPSMT"/>
                <w:sz w:val="18"/>
                <w:szCs w:val="18"/>
              </w:rPr>
              <w:t>C</w:t>
            </w:r>
            <w:r w:rsidR="001C6AA5" w:rsidRPr="002F2AF3">
              <w:rPr>
                <w:rFonts w:cs="TimesNewRomanPSMT"/>
                <w:sz w:val="18"/>
                <w:szCs w:val="18"/>
              </w:rPr>
              <w:t>eiling fans may provide control of integrated lighting via remote control</w:t>
            </w:r>
            <w:r w:rsidR="00816910">
              <w:rPr>
                <w:rFonts w:cs="TimesNewRomanPSMT"/>
                <w:sz w:val="18"/>
                <w:szCs w:val="18"/>
              </w:rPr>
              <w:t>.</w:t>
            </w:r>
          </w:p>
        </w:tc>
      </w:tr>
      <w:tr w:rsidR="001F6DA0" w:rsidRPr="002F2AF3" w14:paraId="67CB9FD9" w14:textId="77777777" w:rsidTr="00242A5D">
        <w:trPr>
          <w:trHeight w:val="1088"/>
        </w:trPr>
        <w:tc>
          <w:tcPr>
            <w:tcW w:w="2155" w:type="dxa"/>
            <w:shd w:val="clear" w:color="auto" w:fill="E7E6E6" w:themeFill="background2"/>
          </w:tcPr>
          <w:p w14:paraId="68E1EC11" w14:textId="2DAB7D8E" w:rsidR="001F6DA0" w:rsidRPr="00DD0F9B" w:rsidRDefault="001F6DA0" w:rsidP="00242A5D">
            <w:pPr>
              <w:rPr>
                <w:b/>
                <w:bCs/>
                <w:color w:val="FF0000"/>
                <w:sz w:val="18"/>
                <w:szCs w:val="18"/>
              </w:rPr>
            </w:pPr>
            <w:r w:rsidRPr="00DD0F9B">
              <w:rPr>
                <w:b/>
                <w:color w:val="FF0000"/>
                <w:sz w:val="18"/>
                <w:szCs w:val="18"/>
              </w:rPr>
              <w:t>BATHROOMS, GARAGES, LAUNDRY ROOMS, UTILITY ROOMS AND WALK-IN CLOSETS</w:t>
            </w:r>
          </w:p>
        </w:tc>
        <w:tc>
          <w:tcPr>
            <w:tcW w:w="8370" w:type="dxa"/>
          </w:tcPr>
          <w:p w14:paraId="73E3088B" w14:textId="1BAEE9F3" w:rsidR="001F6DA0" w:rsidRPr="002F2AF3" w:rsidRDefault="001F6DA0" w:rsidP="00816910">
            <w:pPr>
              <w:rPr>
                <w:sz w:val="18"/>
                <w:szCs w:val="18"/>
              </w:rPr>
            </w:pPr>
            <w:r w:rsidRPr="002F2AF3">
              <w:rPr>
                <w:sz w:val="18"/>
                <w:szCs w:val="18"/>
              </w:rPr>
              <w:t xml:space="preserve">All lighting shall be high efficacy. Each room must have at least 1 luminaire is controlled by either an occupancy OR vacancy sensor providing automatic-off functionality. Exhaust fans shall be controlled separately from lighting systems or utilize a device where lighting can be turn OFF while the fan is running. </w:t>
            </w:r>
          </w:p>
        </w:tc>
      </w:tr>
      <w:tr w:rsidR="001F6DA0" w:rsidRPr="002F2AF3" w14:paraId="1F56581B" w14:textId="77777777" w:rsidTr="001F6DA0">
        <w:tc>
          <w:tcPr>
            <w:tcW w:w="2155" w:type="dxa"/>
            <w:shd w:val="clear" w:color="auto" w:fill="E7E6E6" w:themeFill="background2"/>
          </w:tcPr>
          <w:p w14:paraId="560DFA7F" w14:textId="71805463" w:rsidR="001F6DA0" w:rsidRPr="00DD0F9B" w:rsidRDefault="001F6DA0" w:rsidP="00242A5D">
            <w:pPr>
              <w:rPr>
                <w:color w:val="FF0000"/>
                <w:sz w:val="18"/>
                <w:szCs w:val="18"/>
              </w:rPr>
            </w:pPr>
            <w:r w:rsidRPr="00DD0F9B">
              <w:rPr>
                <w:b/>
                <w:color w:val="FF0000"/>
                <w:sz w:val="18"/>
                <w:szCs w:val="18"/>
              </w:rPr>
              <w:t>NAVIGATION LIGHTING (Night lights, step lights, and path lights)</w:t>
            </w:r>
          </w:p>
        </w:tc>
        <w:tc>
          <w:tcPr>
            <w:tcW w:w="8370" w:type="dxa"/>
          </w:tcPr>
          <w:p w14:paraId="1AF76124" w14:textId="51F6456E" w:rsidR="001F6DA0" w:rsidRPr="002F2AF3" w:rsidRDefault="001F6DA0" w:rsidP="001F6DA0">
            <w:pPr>
              <w:rPr>
                <w:sz w:val="18"/>
                <w:szCs w:val="18"/>
              </w:rPr>
            </w:pPr>
            <w:r w:rsidRPr="002F2AF3">
              <w:rPr>
                <w:sz w:val="18"/>
                <w:szCs w:val="18"/>
              </w:rPr>
              <w:t xml:space="preserve">Shall be high efficacy except if </w:t>
            </w:r>
            <w:r w:rsidRPr="002F2AF3">
              <w:rPr>
                <w:sz w:val="18"/>
                <w:szCs w:val="18"/>
              </w:rPr>
              <w:t>less than 5 watts</w:t>
            </w:r>
            <w:r w:rsidRPr="002F2AF3">
              <w:rPr>
                <w:sz w:val="18"/>
                <w:szCs w:val="18"/>
              </w:rPr>
              <w:t xml:space="preserve">. </w:t>
            </w:r>
          </w:p>
        </w:tc>
      </w:tr>
      <w:tr w:rsidR="001F6DA0" w:rsidRPr="002F2AF3" w14:paraId="1C58E453" w14:textId="77777777" w:rsidTr="001F6DA0">
        <w:tc>
          <w:tcPr>
            <w:tcW w:w="2155" w:type="dxa"/>
            <w:shd w:val="clear" w:color="auto" w:fill="E7E6E6" w:themeFill="background2"/>
          </w:tcPr>
          <w:p w14:paraId="16A4BA37" w14:textId="4F18BDD0" w:rsidR="001F6DA0" w:rsidRPr="00DD0F9B" w:rsidRDefault="001F6DA0" w:rsidP="00242A5D">
            <w:pPr>
              <w:rPr>
                <w:b/>
                <w:color w:val="FF0000"/>
                <w:sz w:val="18"/>
                <w:szCs w:val="18"/>
              </w:rPr>
            </w:pPr>
            <w:r w:rsidRPr="00DD0F9B">
              <w:rPr>
                <w:b/>
                <w:color w:val="FF0000"/>
                <w:sz w:val="18"/>
                <w:szCs w:val="18"/>
              </w:rPr>
              <w:t>CABINET LIGHTING</w:t>
            </w:r>
          </w:p>
          <w:p w14:paraId="4E7EB5DC" w14:textId="61AE90F8" w:rsidR="001F6DA0" w:rsidRPr="00DD0F9B" w:rsidRDefault="001F6DA0" w:rsidP="00242A5D">
            <w:pPr>
              <w:rPr>
                <w:b/>
                <w:color w:val="FF0000"/>
                <w:sz w:val="18"/>
                <w:szCs w:val="18"/>
              </w:rPr>
            </w:pPr>
            <w:r w:rsidRPr="00DD0F9B">
              <w:rPr>
                <w:b/>
                <w:color w:val="FF0000"/>
                <w:sz w:val="18"/>
                <w:szCs w:val="18"/>
              </w:rPr>
              <w:t>(Drawers, cabinets, and linen closets)</w:t>
            </w:r>
          </w:p>
        </w:tc>
        <w:tc>
          <w:tcPr>
            <w:tcW w:w="8370" w:type="dxa"/>
          </w:tcPr>
          <w:p w14:paraId="6E139FA5" w14:textId="5850D66F" w:rsidR="001F6DA0" w:rsidRPr="002F2AF3" w:rsidRDefault="001F6DA0" w:rsidP="001F6DA0">
            <w:pPr>
              <w:rPr>
                <w:sz w:val="18"/>
                <w:szCs w:val="18"/>
              </w:rPr>
            </w:pPr>
            <w:r w:rsidRPr="002F2AF3">
              <w:rPr>
                <w:sz w:val="18"/>
                <w:szCs w:val="18"/>
              </w:rPr>
              <w:t xml:space="preserve">All lighting shall be high efficacy except lighting internal to drawers, cabinetry and linen closets with an efficacy of </w:t>
            </w:r>
            <w:r w:rsidRPr="002F2AF3">
              <w:rPr>
                <w:rFonts w:cstheme="minorHAnsi"/>
                <w:sz w:val="18"/>
                <w:szCs w:val="18"/>
              </w:rPr>
              <w:t>≥</w:t>
            </w:r>
            <w:r w:rsidRPr="002F2AF3">
              <w:rPr>
                <w:sz w:val="18"/>
                <w:szCs w:val="18"/>
              </w:rPr>
              <w:t xml:space="preserve"> 45 lumens per watt. Lighting internal to drawers and cabinetry with opaque fronts or doors shall have controls that turn the lights off when the drawer or door is closed.</w:t>
            </w:r>
          </w:p>
          <w:p w14:paraId="01E07E46" w14:textId="77777777" w:rsidR="001F6DA0" w:rsidRPr="002F2AF3" w:rsidRDefault="001F6DA0" w:rsidP="001F6DA0">
            <w:pPr>
              <w:rPr>
                <w:sz w:val="18"/>
                <w:szCs w:val="18"/>
              </w:rPr>
            </w:pPr>
          </w:p>
        </w:tc>
      </w:tr>
      <w:tr w:rsidR="001F6DA0" w:rsidRPr="002F2AF3" w14:paraId="73ED9306" w14:textId="77777777" w:rsidTr="001F6DA0">
        <w:tc>
          <w:tcPr>
            <w:tcW w:w="2155" w:type="dxa"/>
            <w:shd w:val="clear" w:color="auto" w:fill="E7E6E6" w:themeFill="background2"/>
          </w:tcPr>
          <w:p w14:paraId="193C1408" w14:textId="0336BB4B" w:rsidR="001F6DA0" w:rsidRPr="00DD0F9B" w:rsidRDefault="001F6DA0" w:rsidP="00242A5D">
            <w:pPr>
              <w:spacing w:line="276" w:lineRule="auto"/>
              <w:rPr>
                <w:b/>
                <w:bCs/>
                <w:color w:val="FF0000"/>
                <w:sz w:val="18"/>
                <w:szCs w:val="18"/>
              </w:rPr>
            </w:pPr>
            <w:r w:rsidRPr="00DD0F9B">
              <w:rPr>
                <w:b/>
                <w:bCs/>
                <w:color w:val="FF0000"/>
                <w:sz w:val="18"/>
                <w:szCs w:val="18"/>
              </w:rPr>
              <w:t>INTEGRATED DEVICE LIGHTING</w:t>
            </w:r>
          </w:p>
        </w:tc>
        <w:tc>
          <w:tcPr>
            <w:tcW w:w="8370" w:type="dxa"/>
          </w:tcPr>
          <w:p w14:paraId="138E73A0" w14:textId="77777777" w:rsidR="001F6DA0" w:rsidRPr="002F2AF3" w:rsidRDefault="001F6DA0" w:rsidP="001F6DA0">
            <w:pPr>
              <w:rPr>
                <w:sz w:val="18"/>
                <w:szCs w:val="18"/>
              </w:rPr>
            </w:pPr>
            <w:r w:rsidRPr="002F2AF3">
              <w:rPr>
                <w:sz w:val="18"/>
                <w:szCs w:val="18"/>
              </w:rPr>
              <w:t xml:space="preserve">Lighting integral to exhaust fans, kitchen range hoods, bath vanity mirrors and garage door opener are exempt from high efficacy requirements. </w:t>
            </w:r>
          </w:p>
          <w:p w14:paraId="178C1425" w14:textId="364BC341" w:rsidR="00242A5D" w:rsidRPr="002F2AF3" w:rsidRDefault="00242A5D" w:rsidP="001F6DA0">
            <w:pPr>
              <w:rPr>
                <w:sz w:val="18"/>
                <w:szCs w:val="18"/>
              </w:rPr>
            </w:pPr>
          </w:p>
        </w:tc>
      </w:tr>
      <w:tr w:rsidR="001F6DA0" w:rsidRPr="002F2AF3" w14:paraId="2F26E7A6" w14:textId="77777777" w:rsidTr="001F6DA0">
        <w:tc>
          <w:tcPr>
            <w:tcW w:w="2155" w:type="dxa"/>
            <w:shd w:val="clear" w:color="auto" w:fill="E7E6E6" w:themeFill="background2"/>
          </w:tcPr>
          <w:p w14:paraId="7C2E473C" w14:textId="77777777" w:rsidR="001F6DA0" w:rsidRPr="00DD0F9B" w:rsidRDefault="001F6DA0" w:rsidP="00242A5D">
            <w:pPr>
              <w:spacing w:line="276" w:lineRule="auto"/>
              <w:rPr>
                <w:b/>
                <w:color w:val="FF0000"/>
                <w:sz w:val="18"/>
                <w:szCs w:val="18"/>
              </w:rPr>
            </w:pPr>
            <w:r w:rsidRPr="00DD0F9B">
              <w:rPr>
                <w:b/>
                <w:color w:val="FF0000"/>
                <w:sz w:val="18"/>
                <w:szCs w:val="18"/>
              </w:rPr>
              <w:t>RECESSED DOWNLIGHT LUMINAIRES IN CEILINGS</w:t>
            </w:r>
          </w:p>
        </w:tc>
        <w:tc>
          <w:tcPr>
            <w:tcW w:w="8370" w:type="dxa"/>
          </w:tcPr>
          <w:p w14:paraId="166FC4F5" w14:textId="77777777" w:rsidR="001F6DA0" w:rsidRPr="002F2AF3" w:rsidRDefault="001F6DA0" w:rsidP="001F6DA0">
            <w:pPr>
              <w:pStyle w:val="ListParagraph"/>
              <w:numPr>
                <w:ilvl w:val="0"/>
                <w:numId w:val="10"/>
              </w:numPr>
              <w:spacing w:line="276" w:lineRule="auto"/>
              <w:rPr>
                <w:sz w:val="18"/>
                <w:szCs w:val="18"/>
              </w:rPr>
            </w:pPr>
            <w:r w:rsidRPr="002F2AF3">
              <w:rPr>
                <w:sz w:val="18"/>
                <w:szCs w:val="18"/>
              </w:rPr>
              <w:t xml:space="preserve">Shall be high efficacy, listed for zero clearance insulation contact (IC), labeled as airtight (AT), sealed with a gasket or caulk between the housing and ceiling, allow ballast or driver maintenance and replacement to be readily accessible to building occupants from below the ceiling without requiring the cutting of holes in the ceiling, shall not contain screw base sockets (E26), comply with JA8 elevated temperature requirements for enclosed or recessed luminaires. </w:t>
            </w:r>
          </w:p>
          <w:p w14:paraId="2D1AF88B" w14:textId="77777777" w:rsidR="00242A5D" w:rsidRPr="002F2AF3" w:rsidRDefault="001F6DA0" w:rsidP="00242A5D">
            <w:pPr>
              <w:pStyle w:val="ListParagraph"/>
              <w:numPr>
                <w:ilvl w:val="0"/>
                <w:numId w:val="10"/>
              </w:numPr>
              <w:spacing w:line="276" w:lineRule="auto"/>
              <w:rPr>
                <w:sz w:val="18"/>
                <w:szCs w:val="18"/>
              </w:rPr>
            </w:pPr>
            <w:r w:rsidRPr="002F2AF3">
              <w:rPr>
                <w:sz w:val="18"/>
                <w:szCs w:val="18"/>
              </w:rPr>
              <w:t>For alterations of existing ceiling-recessed luminaire with screw-based socket must use new JA8-compliance trim kits or lamps designed for use with recessed down-lights or luminaires.</w:t>
            </w:r>
          </w:p>
          <w:p w14:paraId="58E39DBB" w14:textId="70ACB7FA" w:rsidR="00242A5D" w:rsidRPr="002F2AF3" w:rsidRDefault="00242A5D" w:rsidP="00242A5D">
            <w:pPr>
              <w:pStyle w:val="ListParagraph"/>
              <w:spacing w:line="276" w:lineRule="auto"/>
              <w:ind w:left="360"/>
              <w:rPr>
                <w:sz w:val="18"/>
                <w:szCs w:val="18"/>
              </w:rPr>
            </w:pPr>
          </w:p>
        </w:tc>
      </w:tr>
      <w:tr w:rsidR="001F6DA0" w:rsidRPr="002F2AF3" w14:paraId="6F137AD0" w14:textId="77777777" w:rsidTr="001F6DA0">
        <w:tc>
          <w:tcPr>
            <w:tcW w:w="2155" w:type="dxa"/>
            <w:shd w:val="clear" w:color="auto" w:fill="E7E6E6" w:themeFill="background2"/>
          </w:tcPr>
          <w:p w14:paraId="0291A78C" w14:textId="77777777" w:rsidR="001F6DA0" w:rsidRPr="00DD0F9B" w:rsidRDefault="001F6DA0" w:rsidP="00242A5D">
            <w:pPr>
              <w:rPr>
                <w:b/>
                <w:color w:val="FF0000"/>
                <w:sz w:val="18"/>
                <w:szCs w:val="18"/>
              </w:rPr>
            </w:pPr>
            <w:r w:rsidRPr="00DD0F9B">
              <w:rPr>
                <w:b/>
                <w:color w:val="FF0000"/>
                <w:sz w:val="18"/>
                <w:szCs w:val="18"/>
              </w:rPr>
              <w:t>BLANK ELECTRICAL BOXES</w:t>
            </w:r>
          </w:p>
        </w:tc>
        <w:tc>
          <w:tcPr>
            <w:tcW w:w="8370" w:type="dxa"/>
          </w:tcPr>
          <w:p w14:paraId="28D549FA" w14:textId="34824CDA" w:rsidR="001F6DA0" w:rsidRPr="002F2AF3" w:rsidRDefault="001F6DA0" w:rsidP="001F6DA0">
            <w:pPr>
              <w:rPr>
                <w:sz w:val="18"/>
                <w:szCs w:val="18"/>
              </w:rPr>
            </w:pPr>
            <w:r w:rsidRPr="002F2AF3">
              <w:rPr>
                <w:sz w:val="18"/>
                <w:szCs w:val="18"/>
              </w:rPr>
              <w:t xml:space="preserve">The number of electrical boxes that are more than 5 feet above the finish floor and do not contain a luminaire or other device shall be no greater than the number of bedrooms.  These electrical boxes must be served by a dimmer, vacancy sensor control, low voltage wiring or fan speed control. </w:t>
            </w:r>
          </w:p>
          <w:p w14:paraId="1983C46E" w14:textId="77777777" w:rsidR="001F6DA0" w:rsidRPr="002F2AF3" w:rsidRDefault="001F6DA0" w:rsidP="001F6DA0">
            <w:pPr>
              <w:rPr>
                <w:sz w:val="18"/>
                <w:szCs w:val="18"/>
              </w:rPr>
            </w:pPr>
          </w:p>
        </w:tc>
      </w:tr>
      <w:tr w:rsidR="001F6DA0" w:rsidRPr="002F2AF3" w14:paraId="648814E8" w14:textId="77777777" w:rsidTr="00242A5D">
        <w:trPr>
          <w:trHeight w:val="692"/>
        </w:trPr>
        <w:tc>
          <w:tcPr>
            <w:tcW w:w="2155" w:type="dxa"/>
            <w:shd w:val="clear" w:color="auto" w:fill="E7E6E6" w:themeFill="background2"/>
          </w:tcPr>
          <w:p w14:paraId="256698B4" w14:textId="4F5722FB" w:rsidR="001F6DA0" w:rsidRPr="00DD0F9B" w:rsidRDefault="001F6DA0" w:rsidP="00242A5D">
            <w:pPr>
              <w:spacing w:line="276" w:lineRule="auto"/>
              <w:rPr>
                <w:b/>
                <w:color w:val="FF0000"/>
                <w:sz w:val="18"/>
                <w:szCs w:val="18"/>
              </w:rPr>
            </w:pPr>
            <w:r w:rsidRPr="00DD0F9B">
              <w:rPr>
                <w:b/>
                <w:color w:val="FF0000"/>
                <w:sz w:val="18"/>
                <w:szCs w:val="18"/>
              </w:rPr>
              <w:t>INDEPENDENT CONTROLS</w:t>
            </w:r>
          </w:p>
        </w:tc>
        <w:tc>
          <w:tcPr>
            <w:tcW w:w="8370" w:type="dxa"/>
          </w:tcPr>
          <w:p w14:paraId="5136B687" w14:textId="77777777" w:rsidR="00242A5D" w:rsidRPr="002F2AF3" w:rsidRDefault="001F6DA0" w:rsidP="00242A5D">
            <w:pPr>
              <w:pStyle w:val="ListParagraph"/>
              <w:numPr>
                <w:ilvl w:val="0"/>
                <w:numId w:val="9"/>
              </w:numPr>
              <w:spacing w:after="200" w:line="276" w:lineRule="auto"/>
              <w:rPr>
                <w:sz w:val="18"/>
                <w:szCs w:val="18"/>
              </w:rPr>
            </w:pPr>
            <w:r w:rsidRPr="002F2AF3">
              <w:rPr>
                <w:sz w:val="18"/>
                <w:szCs w:val="18"/>
              </w:rPr>
              <w:t>Integrated lighting of exhaust fans shall be controlled independently from the fans.</w:t>
            </w:r>
            <w:r w:rsidR="00242A5D" w:rsidRPr="002F2AF3">
              <w:rPr>
                <w:sz w:val="18"/>
                <w:szCs w:val="18"/>
              </w:rPr>
              <w:t xml:space="preserve"> </w:t>
            </w:r>
          </w:p>
          <w:p w14:paraId="6BFD03CF" w14:textId="003315F3" w:rsidR="001F6DA0" w:rsidRPr="002F2AF3" w:rsidRDefault="00242A5D" w:rsidP="00242A5D">
            <w:pPr>
              <w:pStyle w:val="ListParagraph"/>
              <w:numPr>
                <w:ilvl w:val="0"/>
                <w:numId w:val="9"/>
              </w:numPr>
              <w:spacing w:after="200" w:line="276" w:lineRule="auto"/>
              <w:rPr>
                <w:sz w:val="18"/>
                <w:szCs w:val="18"/>
              </w:rPr>
            </w:pPr>
            <w:r w:rsidRPr="002F2AF3">
              <w:rPr>
                <w:sz w:val="18"/>
                <w:szCs w:val="18"/>
              </w:rPr>
              <w:t>Th</w:t>
            </w:r>
            <w:r w:rsidR="001F6DA0" w:rsidRPr="002F2AF3">
              <w:rPr>
                <w:sz w:val="18"/>
                <w:szCs w:val="18"/>
              </w:rPr>
              <w:t xml:space="preserve">e following shall be controlled separately from ceiling-installed lighting: </w:t>
            </w:r>
            <w:r w:rsidRPr="002F2AF3">
              <w:rPr>
                <w:sz w:val="18"/>
                <w:szCs w:val="18"/>
              </w:rPr>
              <w:t>u</w:t>
            </w:r>
            <w:r w:rsidR="001F6DA0" w:rsidRPr="002F2AF3">
              <w:rPr>
                <w:sz w:val="18"/>
                <w:szCs w:val="18"/>
              </w:rPr>
              <w:t>nder cabinet lighting</w:t>
            </w:r>
            <w:r w:rsidRPr="002F2AF3">
              <w:rPr>
                <w:sz w:val="18"/>
                <w:szCs w:val="18"/>
              </w:rPr>
              <w:t>, u</w:t>
            </w:r>
            <w:r w:rsidR="001F6DA0" w:rsidRPr="002F2AF3">
              <w:rPr>
                <w:sz w:val="18"/>
                <w:szCs w:val="18"/>
              </w:rPr>
              <w:t>ndershelf lighting</w:t>
            </w:r>
            <w:r w:rsidRPr="002F2AF3">
              <w:rPr>
                <w:sz w:val="18"/>
                <w:szCs w:val="18"/>
              </w:rPr>
              <w:t>, i</w:t>
            </w:r>
            <w:r w:rsidR="001F6DA0" w:rsidRPr="002F2AF3">
              <w:rPr>
                <w:sz w:val="18"/>
                <w:szCs w:val="18"/>
              </w:rPr>
              <w:t>nterior lighting of display cabinets</w:t>
            </w:r>
            <w:r w:rsidRPr="002F2AF3">
              <w:rPr>
                <w:sz w:val="18"/>
                <w:szCs w:val="18"/>
              </w:rPr>
              <w:t>, and s</w:t>
            </w:r>
            <w:r w:rsidR="001F6DA0" w:rsidRPr="002F2AF3">
              <w:rPr>
                <w:sz w:val="18"/>
                <w:szCs w:val="18"/>
              </w:rPr>
              <w:t xml:space="preserve">witched outlets. </w:t>
            </w:r>
          </w:p>
        </w:tc>
      </w:tr>
      <w:tr w:rsidR="00242A5D" w:rsidRPr="00242A5D" w14:paraId="54E0112A" w14:textId="77777777" w:rsidTr="001F6DA0">
        <w:trPr>
          <w:trHeight w:val="1520"/>
        </w:trPr>
        <w:tc>
          <w:tcPr>
            <w:tcW w:w="2155" w:type="dxa"/>
            <w:shd w:val="clear" w:color="auto" w:fill="E7E6E6" w:themeFill="background2"/>
          </w:tcPr>
          <w:p w14:paraId="6C3DE2A4" w14:textId="00EA69BC" w:rsidR="00242A5D" w:rsidRPr="00DD0F9B" w:rsidRDefault="00242A5D" w:rsidP="00242A5D">
            <w:pPr>
              <w:spacing w:line="276" w:lineRule="auto"/>
              <w:rPr>
                <w:b/>
                <w:color w:val="FF0000"/>
                <w:sz w:val="18"/>
                <w:szCs w:val="18"/>
              </w:rPr>
            </w:pPr>
            <w:r w:rsidRPr="00DD0F9B">
              <w:rPr>
                <w:rFonts w:cs="TimesNewRomanPSMT"/>
                <w:b/>
                <w:color w:val="FF0000"/>
                <w:sz w:val="18"/>
                <w:szCs w:val="18"/>
              </w:rPr>
              <w:t>OUTDOOR LIGHTING</w:t>
            </w:r>
          </w:p>
        </w:tc>
        <w:tc>
          <w:tcPr>
            <w:tcW w:w="8370" w:type="dxa"/>
          </w:tcPr>
          <w:p w14:paraId="26F8F4F6" w14:textId="77777777" w:rsidR="00242A5D" w:rsidRPr="002F2AF3" w:rsidRDefault="00242A5D" w:rsidP="00242A5D">
            <w:pPr>
              <w:autoSpaceDE w:val="0"/>
              <w:autoSpaceDN w:val="0"/>
              <w:adjustRightInd w:val="0"/>
              <w:rPr>
                <w:rFonts w:cs="TimesNewRomanPSMT"/>
                <w:sz w:val="18"/>
                <w:szCs w:val="18"/>
              </w:rPr>
            </w:pPr>
            <w:r w:rsidRPr="002F2AF3">
              <w:rPr>
                <w:rFonts w:cs="TimesNewRomanPSMT"/>
                <w:sz w:val="18"/>
                <w:szCs w:val="18"/>
              </w:rPr>
              <w:t xml:space="preserve">All permanently installed outdoor lighting shall be high efficacy AND must be controlled by a manual on and off switch AND use one of these automatic control types: </w:t>
            </w:r>
          </w:p>
          <w:p w14:paraId="37DA416F" w14:textId="77777777" w:rsidR="00242A5D" w:rsidRPr="002F2AF3" w:rsidRDefault="00242A5D" w:rsidP="00242A5D">
            <w:pPr>
              <w:pStyle w:val="ListParagraph"/>
              <w:numPr>
                <w:ilvl w:val="0"/>
                <w:numId w:val="8"/>
              </w:numPr>
              <w:autoSpaceDE w:val="0"/>
              <w:autoSpaceDN w:val="0"/>
              <w:adjustRightInd w:val="0"/>
              <w:spacing w:after="200" w:line="276" w:lineRule="auto"/>
              <w:rPr>
                <w:rFonts w:cs="TimesNewRomanPSMT"/>
                <w:sz w:val="18"/>
                <w:szCs w:val="18"/>
              </w:rPr>
            </w:pPr>
            <w:r w:rsidRPr="002F2AF3">
              <w:rPr>
                <w:rFonts w:cs="TimesNewRomanPSMT"/>
                <w:sz w:val="18"/>
                <w:szCs w:val="18"/>
              </w:rPr>
              <w:t>Photocell and motion sensor, OR</w:t>
            </w:r>
          </w:p>
          <w:p w14:paraId="4B0CFE6A" w14:textId="77777777" w:rsidR="00242A5D" w:rsidRPr="002F2AF3" w:rsidRDefault="00242A5D" w:rsidP="00242A5D">
            <w:pPr>
              <w:pStyle w:val="ListParagraph"/>
              <w:numPr>
                <w:ilvl w:val="0"/>
                <w:numId w:val="8"/>
              </w:numPr>
              <w:autoSpaceDE w:val="0"/>
              <w:autoSpaceDN w:val="0"/>
              <w:adjustRightInd w:val="0"/>
              <w:spacing w:after="200" w:line="276" w:lineRule="auto"/>
              <w:rPr>
                <w:rFonts w:cs="TimesNewRomanPSMT"/>
                <w:sz w:val="18"/>
                <w:szCs w:val="18"/>
              </w:rPr>
            </w:pPr>
            <w:r w:rsidRPr="002F2AF3">
              <w:rPr>
                <w:rFonts w:cs="TimesNewRomanPSMT"/>
                <w:sz w:val="18"/>
                <w:szCs w:val="18"/>
              </w:rPr>
              <w:t>Photocell and automatic time switch control, OR</w:t>
            </w:r>
          </w:p>
          <w:p w14:paraId="44E7CB4A" w14:textId="77777777" w:rsidR="00242A5D" w:rsidRPr="002F2AF3" w:rsidRDefault="00242A5D" w:rsidP="00242A5D">
            <w:pPr>
              <w:pStyle w:val="ListParagraph"/>
              <w:numPr>
                <w:ilvl w:val="0"/>
                <w:numId w:val="8"/>
              </w:numPr>
              <w:autoSpaceDE w:val="0"/>
              <w:autoSpaceDN w:val="0"/>
              <w:adjustRightInd w:val="0"/>
              <w:spacing w:after="200" w:line="276" w:lineRule="auto"/>
              <w:rPr>
                <w:sz w:val="18"/>
                <w:szCs w:val="18"/>
              </w:rPr>
            </w:pPr>
            <w:r w:rsidRPr="002F2AF3">
              <w:rPr>
                <w:rFonts w:cs="TimesNewRomanPSMT"/>
                <w:sz w:val="18"/>
                <w:szCs w:val="18"/>
              </w:rPr>
              <w:t xml:space="preserve">Astronomical time clock that automatically turn outdoor lighting off during daylight hours, OR </w:t>
            </w:r>
          </w:p>
          <w:p w14:paraId="1D2CA5C4" w14:textId="17196942" w:rsidR="00242A5D" w:rsidRPr="002F2AF3" w:rsidRDefault="00242A5D" w:rsidP="00242A5D">
            <w:pPr>
              <w:pStyle w:val="ListParagraph"/>
              <w:numPr>
                <w:ilvl w:val="0"/>
                <w:numId w:val="8"/>
              </w:numPr>
              <w:autoSpaceDE w:val="0"/>
              <w:autoSpaceDN w:val="0"/>
              <w:adjustRightInd w:val="0"/>
              <w:spacing w:after="200" w:line="276" w:lineRule="auto"/>
              <w:rPr>
                <w:sz w:val="18"/>
                <w:szCs w:val="18"/>
              </w:rPr>
            </w:pPr>
            <w:r w:rsidRPr="002F2AF3">
              <w:rPr>
                <w:rFonts w:cs="TimesNewRomanPSMT"/>
                <w:sz w:val="18"/>
                <w:szCs w:val="18"/>
              </w:rPr>
              <w:t>Energy Management Control System (EMCS) that provides the functionality of an astronomical time clock. EMCS does not have an override or bypass that allows the luminaries to be always on and is programmed to automatically turn the outdoor lighting off during daylight hours.</w:t>
            </w:r>
          </w:p>
        </w:tc>
      </w:tr>
    </w:tbl>
    <w:p w14:paraId="6758BFEF" w14:textId="52F3F790" w:rsidR="009C3FF8" w:rsidRDefault="009C3FF8">
      <w:pPr>
        <w:rPr>
          <w:sz w:val="16"/>
          <w:szCs w:val="16"/>
        </w:rPr>
      </w:pPr>
    </w:p>
    <w:p w14:paraId="746D2600" w14:textId="1A57D446" w:rsidR="00200FA3" w:rsidRPr="00200FA3" w:rsidRDefault="00200FA3" w:rsidP="00200FA3">
      <w:pPr>
        <w:rPr>
          <w:sz w:val="16"/>
          <w:szCs w:val="16"/>
        </w:rPr>
      </w:pPr>
    </w:p>
    <w:p w14:paraId="36774817" w14:textId="77777777" w:rsidR="00200FA3" w:rsidRPr="00200FA3" w:rsidRDefault="00200FA3" w:rsidP="00200FA3">
      <w:pPr>
        <w:rPr>
          <w:sz w:val="16"/>
          <w:szCs w:val="16"/>
        </w:rPr>
      </w:pPr>
    </w:p>
    <w:sectPr w:rsidR="00200FA3" w:rsidRPr="00200FA3" w:rsidSect="005276E8">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158" w14:textId="77777777" w:rsidR="002F28FF" w:rsidRDefault="002F28FF" w:rsidP="006924AD">
      <w:pPr>
        <w:spacing w:after="0" w:line="240" w:lineRule="auto"/>
      </w:pPr>
      <w:r>
        <w:separator/>
      </w:r>
    </w:p>
  </w:endnote>
  <w:endnote w:type="continuationSeparator" w:id="0">
    <w:p w14:paraId="059866E8" w14:textId="77777777" w:rsidR="002F28FF" w:rsidRDefault="002F28FF" w:rsidP="0069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2F1A" w14:textId="24F68416" w:rsidR="006924AD" w:rsidRPr="006924AD" w:rsidRDefault="006924AD">
    <w:pPr>
      <w:pStyle w:val="Footer"/>
      <w:rPr>
        <w:sz w:val="16"/>
        <w:szCs w:val="16"/>
      </w:rPr>
    </w:pPr>
    <w:r w:rsidRPr="006924AD">
      <w:rPr>
        <w:sz w:val="16"/>
        <w:szCs w:val="16"/>
      </w:rPr>
      <w:t>1/1/202</w:t>
    </w:r>
    <w:r w:rsidR="00200FA3">
      <w:rPr>
        <w:sz w:val="16"/>
        <w:szCs w:val="16"/>
      </w:rPr>
      <w:t>3</w:t>
    </w:r>
    <w:r w:rsidR="00D81BA7">
      <w:rPr>
        <w:sz w:val="16"/>
        <w:szCs w:val="16"/>
      </w:rPr>
      <w:t xml:space="preserve">                                                                                                                                                                                                                        </w:t>
    </w:r>
    <w:r w:rsidR="00B85791">
      <w:rPr>
        <w:sz w:val="16"/>
        <w:szCs w:val="16"/>
      </w:rPr>
      <w:t xml:space="preserve">                         </w:t>
    </w:r>
    <w:r w:rsidR="00D81BA7">
      <w:rPr>
        <w:sz w:val="16"/>
        <w:szCs w:val="16"/>
      </w:rPr>
      <w:t xml:space="preserve">            </w:t>
    </w:r>
    <w:r w:rsidR="002F5D74">
      <w:rPr>
        <w:sz w:val="16"/>
        <w:szCs w:val="16"/>
      </w:rPr>
      <w:t xml:space="preserve">Page </w:t>
    </w:r>
    <w:r w:rsidR="002F5D74">
      <w:rPr>
        <w:b/>
        <w:bCs/>
        <w:sz w:val="16"/>
        <w:szCs w:val="16"/>
      </w:rPr>
      <w:fldChar w:fldCharType="begin"/>
    </w:r>
    <w:r w:rsidR="002F5D74">
      <w:rPr>
        <w:b/>
        <w:bCs/>
        <w:sz w:val="16"/>
        <w:szCs w:val="16"/>
      </w:rPr>
      <w:instrText xml:space="preserve"> PAGE </w:instrText>
    </w:r>
    <w:r w:rsidR="002F5D74">
      <w:rPr>
        <w:b/>
        <w:bCs/>
        <w:sz w:val="16"/>
        <w:szCs w:val="16"/>
      </w:rPr>
      <w:fldChar w:fldCharType="separate"/>
    </w:r>
    <w:r w:rsidR="002E5604">
      <w:rPr>
        <w:b/>
        <w:bCs/>
        <w:noProof/>
        <w:sz w:val="16"/>
        <w:szCs w:val="16"/>
      </w:rPr>
      <w:t>1</w:t>
    </w:r>
    <w:r w:rsidR="002F5D74">
      <w:rPr>
        <w:b/>
        <w:bCs/>
        <w:sz w:val="16"/>
        <w:szCs w:val="16"/>
      </w:rPr>
      <w:fldChar w:fldCharType="end"/>
    </w:r>
    <w:r w:rsidR="002F5D74">
      <w:rPr>
        <w:sz w:val="16"/>
        <w:szCs w:val="16"/>
      </w:rPr>
      <w:t xml:space="preserve"> of </w:t>
    </w:r>
    <w:r w:rsidR="002F5D74">
      <w:rPr>
        <w:b/>
        <w:bCs/>
        <w:sz w:val="16"/>
        <w:szCs w:val="16"/>
      </w:rPr>
      <w:fldChar w:fldCharType="begin"/>
    </w:r>
    <w:r w:rsidR="002F5D74">
      <w:rPr>
        <w:b/>
        <w:bCs/>
        <w:sz w:val="16"/>
        <w:szCs w:val="16"/>
      </w:rPr>
      <w:instrText xml:space="preserve"> NUMPAGES  </w:instrText>
    </w:r>
    <w:r w:rsidR="002F5D74">
      <w:rPr>
        <w:b/>
        <w:bCs/>
        <w:sz w:val="16"/>
        <w:szCs w:val="16"/>
      </w:rPr>
      <w:fldChar w:fldCharType="separate"/>
    </w:r>
    <w:r w:rsidR="002E5604">
      <w:rPr>
        <w:b/>
        <w:bCs/>
        <w:noProof/>
        <w:sz w:val="16"/>
        <w:szCs w:val="16"/>
      </w:rPr>
      <w:t>1</w:t>
    </w:r>
    <w:r w:rsidR="002F5D7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E9F3" w14:textId="77777777" w:rsidR="002F28FF" w:rsidRDefault="002F28FF" w:rsidP="006924AD">
      <w:pPr>
        <w:spacing w:after="0" w:line="240" w:lineRule="auto"/>
      </w:pPr>
      <w:r>
        <w:separator/>
      </w:r>
    </w:p>
  </w:footnote>
  <w:footnote w:type="continuationSeparator" w:id="0">
    <w:p w14:paraId="262B83BA" w14:textId="77777777" w:rsidR="002F28FF" w:rsidRDefault="002F28FF" w:rsidP="0069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329"/>
    <w:multiLevelType w:val="hybridMultilevel"/>
    <w:tmpl w:val="6016C1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91527"/>
    <w:multiLevelType w:val="hybridMultilevel"/>
    <w:tmpl w:val="7D02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D03F1"/>
    <w:multiLevelType w:val="hybridMultilevel"/>
    <w:tmpl w:val="0D7E0B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A655B"/>
    <w:multiLevelType w:val="hybridMultilevel"/>
    <w:tmpl w:val="AD788B62"/>
    <w:lvl w:ilvl="0" w:tplc="AFE0AD1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F4909"/>
    <w:multiLevelType w:val="hybridMultilevel"/>
    <w:tmpl w:val="7614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97457"/>
    <w:multiLevelType w:val="hybridMultilevel"/>
    <w:tmpl w:val="08EECE18"/>
    <w:lvl w:ilvl="0" w:tplc="42B80B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715D7"/>
    <w:multiLevelType w:val="hybridMultilevel"/>
    <w:tmpl w:val="DD28C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B34EA"/>
    <w:multiLevelType w:val="hybridMultilevel"/>
    <w:tmpl w:val="48F6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60361"/>
    <w:multiLevelType w:val="hybridMultilevel"/>
    <w:tmpl w:val="B18E4218"/>
    <w:lvl w:ilvl="0" w:tplc="04090005">
      <w:start w:val="1"/>
      <w:numFmt w:val="bullet"/>
      <w:lvlText w:val=""/>
      <w:lvlJc w:val="left"/>
      <w:pPr>
        <w:ind w:left="360" w:hanging="360"/>
      </w:pPr>
      <w:rPr>
        <w:rFonts w:ascii="Wingdings" w:hAnsi="Wingdings" w:hint="default"/>
        <w:sz w:val="1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F729B2"/>
    <w:multiLevelType w:val="hybridMultilevel"/>
    <w:tmpl w:val="B5AA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6205CF"/>
    <w:multiLevelType w:val="hybridMultilevel"/>
    <w:tmpl w:val="2820C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633545">
    <w:abstractNumId w:val="4"/>
  </w:num>
  <w:num w:numId="2" w16cid:durableId="1689521656">
    <w:abstractNumId w:val="10"/>
  </w:num>
  <w:num w:numId="3" w16cid:durableId="1708676864">
    <w:abstractNumId w:val="5"/>
  </w:num>
  <w:num w:numId="4" w16cid:durableId="1448233550">
    <w:abstractNumId w:val="9"/>
  </w:num>
  <w:num w:numId="5" w16cid:durableId="1120958000">
    <w:abstractNumId w:val="7"/>
  </w:num>
  <w:num w:numId="6" w16cid:durableId="30343419">
    <w:abstractNumId w:val="3"/>
  </w:num>
  <w:num w:numId="7" w16cid:durableId="891427269">
    <w:abstractNumId w:val="1"/>
  </w:num>
  <w:num w:numId="8" w16cid:durableId="716663191">
    <w:abstractNumId w:val="0"/>
  </w:num>
  <w:num w:numId="9" w16cid:durableId="1534808336">
    <w:abstractNumId w:val="8"/>
  </w:num>
  <w:num w:numId="10" w16cid:durableId="1374229283">
    <w:abstractNumId w:val="6"/>
  </w:num>
  <w:num w:numId="11" w16cid:durableId="197140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03"/>
    <w:rsid w:val="000004D1"/>
    <w:rsid w:val="00062A03"/>
    <w:rsid w:val="00085FEC"/>
    <w:rsid w:val="000A01FE"/>
    <w:rsid w:val="000B58B0"/>
    <w:rsid w:val="00111BCB"/>
    <w:rsid w:val="00142D5A"/>
    <w:rsid w:val="00151914"/>
    <w:rsid w:val="001C6AA5"/>
    <w:rsid w:val="001F6DA0"/>
    <w:rsid w:val="00200FA3"/>
    <w:rsid w:val="00242A5D"/>
    <w:rsid w:val="00247C21"/>
    <w:rsid w:val="002A3382"/>
    <w:rsid w:val="002E5604"/>
    <w:rsid w:val="002F28FF"/>
    <w:rsid w:val="002F2AF3"/>
    <w:rsid w:val="002F5D74"/>
    <w:rsid w:val="00300FA8"/>
    <w:rsid w:val="00382C17"/>
    <w:rsid w:val="003A00BB"/>
    <w:rsid w:val="003B454A"/>
    <w:rsid w:val="003D42C6"/>
    <w:rsid w:val="00412257"/>
    <w:rsid w:val="00417036"/>
    <w:rsid w:val="004306FC"/>
    <w:rsid w:val="00457D1D"/>
    <w:rsid w:val="004820A3"/>
    <w:rsid w:val="004B1BC5"/>
    <w:rsid w:val="005276E8"/>
    <w:rsid w:val="00530937"/>
    <w:rsid w:val="00547031"/>
    <w:rsid w:val="006924AD"/>
    <w:rsid w:val="0076485F"/>
    <w:rsid w:val="007C740C"/>
    <w:rsid w:val="00816910"/>
    <w:rsid w:val="008E3700"/>
    <w:rsid w:val="00925DD7"/>
    <w:rsid w:val="00937626"/>
    <w:rsid w:val="009402F0"/>
    <w:rsid w:val="00964CFB"/>
    <w:rsid w:val="009C3FF8"/>
    <w:rsid w:val="009E64DA"/>
    <w:rsid w:val="00A437FD"/>
    <w:rsid w:val="00AD6F79"/>
    <w:rsid w:val="00AE7BFC"/>
    <w:rsid w:val="00B3465B"/>
    <w:rsid w:val="00B85791"/>
    <w:rsid w:val="00BC3C13"/>
    <w:rsid w:val="00BC465B"/>
    <w:rsid w:val="00BF25A1"/>
    <w:rsid w:val="00BF26AA"/>
    <w:rsid w:val="00C240AE"/>
    <w:rsid w:val="00C26A09"/>
    <w:rsid w:val="00C352C7"/>
    <w:rsid w:val="00C60D45"/>
    <w:rsid w:val="00C67091"/>
    <w:rsid w:val="00CB6B38"/>
    <w:rsid w:val="00CD566B"/>
    <w:rsid w:val="00D6060A"/>
    <w:rsid w:val="00D81BA7"/>
    <w:rsid w:val="00DA4F1E"/>
    <w:rsid w:val="00DC491B"/>
    <w:rsid w:val="00DD0F9B"/>
    <w:rsid w:val="00E404EB"/>
    <w:rsid w:val="00E51086"/>
    <w:rsid w:val="00EE1F9A"/>
    <w:rsid w:val="00FB0C34"/>
    <w:rsid w:val="00FD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BDB7"/>
  <w15:chartTrackingRefBased/>
  <w15:docId w15:val="{5CE70CC2-7908-4F29-B583-C039B07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A8"/>
  </w:style>
  <w:style w:type="paragraph" w:styleId="Heading1">
    <w:name w:val="heading 1"/>
    <w:basedOn w:val="Normal"/>
    <w:next w:val="Normal"/>
    <w:link w:val="Heading1Char"/>
    <w:uiPriority w:val="9"/>
    <w:qFormat/>
    <w:rsid w:val="00300FA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00FA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0FA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00FA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00FA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00FA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00FA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00FA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00FA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A03"/>
    <w:rPr>
      <w:color w:val="0563C1" w:themeColor="hyperlink"/>
      <w:u w:val="single"/>
    </w:rPr>
  </w:style>
  <w:style w:type="table" w:styleId="TableGrid">
    <w:name w:val="Table Grid"/>
    <w:basedOn w:val="TableNormal"/>
    <w:uiPriority w:val="39"/>
    <w:rsid w:val="0006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FA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00F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0FA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0FA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00FA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00FA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00FA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00FA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00FA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00FA8"/>
    <w:pPr>
      <w:spacing w:line="240" w:lineRule="auto"/>
    </w:pPr>
    <w:rPr>
      <w:b/>
      <w:bCs/>
      <w:smallCaps/>
      <w:color w:val="44546A" w:themeColor="text2"/>
    </w:rPr>
  </w:style>
  <w:style w:type="paragraph" w:styleId="Title">
    <w:name w:val="Title"/>
    <w:basedOn w:val="Normal"/>
    <w:next w:val="Normal"/>
    <w:link w:val="TitleChar"/>
    <w:uiPriority w:val="10"/>
    <w:qFormat/>
    <w:rsid w:val="00300F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00F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00FA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00FA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00FA8"/>
    <w:rPr>
      <w:b/>
      <w:bCs/>
    </w:rPr>
  </w:style>
  <w:style w:type="character" w:styleId="Emphasis">
    <w:name w:val="Emphasis"/>
    <w:basedOn w:val="DefaultParagraphFont"/>
    <w:uiPriority w:val="20"/>
    <w:qFormat/>
    <w:rsid w:val="00300FA8"/>
    <w:rPr>
      <w:i/>
      <w:iCs/>
    </w:rPr>
  </w:style>
  <w:style w:type="paragraph" w:styleId="NoSpacing">
    <w:name w:val="No Spacing"/>
    <w:uiPriority w:val="1"/>
    <w:qFormat/>
    <w:rsid w:val="00300FA8"/>
    <w:pPr>
      <w:spacing w:after="0" w:line="240" w:lineRule="auto"/>
    </w:pPr>
  </w:style>
  <w:style w:type="paragraph" w:styleId="Quote">
    <w:name w:val="Quote"/>
    <w:basedOn w:val="Normal"/>
    <w:next w:val="Normal"/>
    <w:link w:val="QuoteChar"/>
    <w:uiPriority w:val="29"/>
    <w:qFormat/>
    <w:rsid w:val="00300F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00FA8"/>
    <w:rPr>
      <w:color w:val="44546A" w:themeColor="text2"/>
      <w:sz w:val="24"/>
      <w:szCs w:val="24"/>
    </w:rPr>
  </w:style>
  <w:style w:type="paragraph" w:styleId="IntenseQuote">
    <w:name w:val="Intense Quote"/>
    <w:basedOn w:val="Normal"/>
    <w:next w:val="Normal"/>
    <w:link w:val="IntenseQuoteChar"/>
    <w:uiPriority w:val="30"/>
    <w:qFormat/>
    <w:rsid w:val="00300F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00F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00FA8"/>
    <w:rPr>
      <w:i/>
      <w:iCs/>
      <w:color w:val="595959" w:themeColor="text1" w:themeTint="A6"/>
    </w:rPr>
  </w:style>
  <w:style w:type="character" w:styleId="IntenseEmphasis">
    <w:name w:val="Intense Emphasis"/>
    <w:basedOn w:val="DefaultParagraphFont"/>
    <w:uiPriority w:val="21"/>
    <w:qFormat/>
    <w:rsid w:val="00300FA8"/>
    <w:rPr>
      <w:b/>
      <w:bCs/>
      <w:i/>
      <w:iCs/>
    </w:rPr>
  </w:style>
  <w:style w:type="character" w:styleId="SubtleReference">
    <w:name w:val="Subtle Reference"/>
    <w:basedOn w:val="DefaultParagraphFont"/>
    <w:uiPriority w:val="31"/>
    <w:qFormat/>
    <w:rsid w:val="00300F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0FA8"/>
    <w:rPr>
      <w:b/>
      <w:bCs/>
      <w:smallCaps/>
      <w:color w:val="44546A" w:themeColor="text2"/>
      <w:u w:val="single"/>
    </w:rPr>
  </w:style>
  <w:style w:type="character" w:styleId="BookTitle">
    <w:name w:val="Book Title"/>
    <w:basedOn w:val="DefaultParagraphFont"/>
    <w:uiPriority w:val="33"/>
    <w:qFormat/>
    <w:rsid w:val="00300FA8"/>
    <w:rPr>
      <w:b/>
      <w:bCs/>
      <w:smallCaps/>
      <w:spacing w:val="10"/>
    </w:rPr>
  </w:style>
  <w:style w:type="paragraph" w:styleId="TOCHeading">
    <w:name w:val="TOC Heading"/>
    <w:basedOn w:val="Heading1"/>
    <w:next w:val="Normal"/>
    <w:uiPriority w:val="39"/>
    <w:semiHidden/>
    <w:unhideWhenUsed/>
    <w:qFormat/>
    <w:rsid w:val="00300FA8"/>
    <w:pPr>
      <w:outlineLvl w:val="9"/>
    </w:pPr>
  </w:style>
  <w:style w:type="paragraph" w:styleId="ListParagraph">
    <w:name w:val="List Paragraph"/>
    <w:basedOn w:val="Normal"/>
    <w:uiPriority w:val="34"/>
    <w:qFormat/>
    <w:rsid w:val="00111BCB"/>
    <w:pPr>
      <w:ind w:left="720"/>
      <w:contextualSpacing/>
    </w:pPr>
  </w:style>
  <w:style w:type="paragraph" w:styleId="Header">
    <w:name w:val="header"/>
    <w:basedOn w:val="Normal"/>
    <w:link w:val="HeaderChar"/>
    <w:uiPriority w:val="99"/>
    <w:unhideWhenUsed/>
    <w:rsid w:val="0069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AD"/>
  </w:style>
  <w:style w:type="paragraph" w:styleId="Footer">
    <w:name w:val="footer"/>
    <w:basedOn w:val="Normal"/>
    <w:link w:val="FooterChar"/>
    <w:uiPriority w:val="99"/>
    <w:unhideWhenUsed/>
    <w:rsid w:val="0069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AD"/>
  </w:style>
  <w:style w:type="paragraph" w:styleId="BalloonText">
    <w:name w:val="Balloon Text"/>
    <w:basedOn w:val="Normal"/>
    <w:link w:val="BalloonTextChar"/>
    <w:uiPriority w:val="99"/>
    <w:semiHidden/>
    <w:unhideWhenUsed/>
    <w:rsid w:val="000A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hAnsi="Segoe UI" w:cs="Segoe UI"/>
      <w:sz w:val="18"/>
      <w:szCs w:val="18"/>
    </w:rPr>
  </w:style>
  <w:style w:type="character" w:styleId="UnresolvedMention">
    <w:name w:val="Unresolved Mention"/>
    <w:basedOn w:val="DefaultParagraphFont"/>
    <w:uiPriority w:val="99"/>
    <w:semiHidden/>
    <w:unhideWhenUsed/>
    <w:rsid w:val="00FD4E81"/>
    <w:rPr>
      <w:color w:val="605E5C"/>
      <w:shd w:val="clear" w:color="auto" w:fill="E1DFDD"/>
    </w:rPr>
  </w:style>
  <w:style w:type="character" w:styleId="FollowedHyperlink">
    <w:name w:val="FollowedHyperlink"/>
    <w:basedOn w:val="DefaultParagraphFont"/>
    <w:uiPriority w:val="99"/>
    <w:semiHidden/>
    <w:unhideWhenUsed/>
    <w:rsid w:val="00FD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rgy.ca.gov/sites/default/files/2022-08/CEC-400-2022-010_CM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283F-A726-4089-A53F-063934AC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SETIAWAN GANDA</dc:creator>
  <cp:keywords/>
  <dc:description/>
  <cp:lastModifiedBy>SETIAWAN GANDA</cp:lastModifiedBy>
  <cp:revision>17</cp:revision>
  <cp:lastPrinted>2022-10-16T18:20:00Z</cp:lastPrinted>
  <dcterms:created xsi:type="dcterms:W3CDTF">2022-10-10T18:05:00Z</dcterms:created>
  <dcterms:modified xsi:type="dcterms:W3CDTF">2022-10-16T18:21:00Z</dcterms:modified>
</cp:coreProperties>
</file>