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D757" w14:textId="1E6C1A8D" w:rsidR="00152FE4" w:rsidRDefault="00152FE4" w:rsidP="00152FE4">
      <w:pPr>
        <w:spacing w:after="0"/>
        <w:jc w:val="center"/>
        <w:rPr>
          <w:b/>
          <w:color w:val="FF0000"/>
          <w:sz w:val="24"/>
          <w:szCs w:val="24"/>
          <w:u w:val="single"/>
        </w:rPr>
      </w:pPr>
      <w:r w:rsidRPr="006006A0">
        <w:rPr>
          <w:b/>
          <w:noProof/>
          <w:color w:val="FF0000"/>
          <w:sz w:val="24"/>
          <w:szCs w:val="24"/>
        </w:rPr>
        <w:drawing>
          <wp:anchor distT="0" distB="0" distL="114300" distR="114300" simplePos="0" relativeHeight="251658240" behindDoc="0" locked="0" layoutInCell="1" allowOverlap="1" wp14:anchorId="0B3222EF" wp14:editId="050AA9E8">
            <wp:simplePos x="0" y="0"/>
            <wp:positionH relativeFrom="column">
              <wp:posOffset>27940</wp:posOffset>
            </wp:positionH>
            <wp:positionV relativeFrom="page">
              <wp:posOffset>518160</wp:posOffset>
            </wp:positionV>
            <wp:extent cx="647700" cy="6832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83260"/>
                    </a:xfrm>
                    <a:prstGeom prst="rect">
                      <a:avLst/>
                    </a:prstGeom>
                  </pic:spPr>
                </pic:pic>
              </a:graphicData>
            </a:graphic>
            <wp14:sizeRelH relativeFrom="margin">
              <wp14:pctWidth>0</wp14:pctWidth>
            </wp14:sizeRelH>
            <wp14:sizeRelV relativeFrom="margin">
              <wp14:pctHeight>0</wp14:pctHeight>
            </wp14:sizeRelV>
          </wp:anchor>
        </w:drawing>
      </w:r>
    </w:p>
    <w:p w14:paraId="3F1C7949" w14:textId="21A6FE07" w:rsidR="006006A0" w:rsidRDefault="00C82501" w:rsidP="00152FE4">
      <w:pPr>
        <w:spacing w:after="0"/>
        <w:jc w:val="center"/>
        <w:rPr>
          <w:b/>
          <w:color w:val="FF0000"/>
          <w:sz w:val="24"/>
          <w:szCs w:val="24"/>
          <w:u w:val="single"/>
        </w:rPr>
      </w:pPr>
      <w:r>
        <w:rPr>
          <w:b/>
          <w:color w:val="FF0000"/>
          <w:sz w:val="24"/>
          <w:szCs w:val="24"/>
          <w:u w:val="single"/>
        </w:rPr>
        <w:t xml:space="preserve">PHOTOVOLTAIC (PV) SYSTEMS </w:t>
      </w:r>
      <w:r w:rsidR="00D40243" w:rsidRPr="006006A0">
        <w:rPr>
          <w:b/>
          <w:color w:val="FF0000"/>
          <w:sz w:val="24"/>
          <w:szCs w:val="24"/>
          <w:u w:val="single"/>
        </w:rPr>
        <w:t>REQUIREMENT</w:t>
      </w:r>
      <w:r w:rsidR="006006A0">
        <w:rPr>
          <w:b/>
          <w:color w:val="FF0000"/>
          <w:sz w:val="24"/>
          <w:szCs w:val="24"/>
          <w:u w:val="single"/>
        </w:rPr>
        <w:t>S</w:t>
      </w:r>
    </w:p>
    <w:p w14:paraId="075DD26E" w14:textId="6C8CE4B7" w:rsidR="00D63900" w:rsidRPr="006006A0" w:rsidRDefault="007F220A" w:rsidP="006006A0">
      <w:pPr>
        <w:jc w:val="center"/>
        <w:rPr>
          <w:b/>
          <w:color w:val="FF0000"/>
          <w:sz w:val="24"/>
          <w:szCs w:val="24"/>
          <w:u w:val="single"/>
        </w:rPr>
      </w:pPr>
      <w:r w:rsidRPr="006006A0">
        <w:rPr>
          <w:b/>
          <w:color w:val="FF0000"/>
          <w:sz w:val="24"/>
          <w:szCs w:val="24"/>
          <w:u w:val="single"/>
        </w:rPr>
        <w:t xml:space="preserve"> FOR </w:t>
      </w:r>
      <w:r w:rsidR="00C82501">
        <w:rPr>
          <w:b/>
          <w:color w:val="FF0000"/>
          <w:sz w:val="24"/>
          <w:szCs w:val="24"/>
          <w:u w:val="single"/>
        </w:rPr>
        <w:t xml:space="preserve">NEW </w:t>
      </w:r>
      <w:r w:rsidR="00E22C5F" w:rsidRPr="006006A0">
        <w:rPr>
          <w:b/>
          <w:color w:val="FF0000"/>
          <w:sz w:val="24"/>
          <w:szCs w:val="24"/>
          <w:u w:val="single"/>
        </w:rPr>
        <w:t>SINGLE-FAMILY</w:t>
      </w:r>
      <w:r w:rsidR="00C82501">
        <w:rPr>
          <w:b/>
          <w:color w:val="FF0000"/>
          <w:sz w:val="24"/>
          <w:szCs w:val="24"/>
          <w:u w:val="single"/>
        </w:rPr>
        <w:t xml:space="preserve"> RESIDENTIAL </w:t>
      </w:r>
      <w:r w:rsidR="00AA1626" w:rsidRPr="006006A0">
        <w:rPr>
          <w:b/>
          <w:color w:val="FF0000"/>
          <w:sz w:val="24"/>
          <w:szCs w:val="24"/>
          <w:u w:val="single"/>
        </w:rPr>
        <w:t xml:space="preserve">BUILDINGS </w:t>
      </w:r>
    </w:p>
    <w:p w14:paraId="01F2EB8E" w14:textId="3676724B" w:rsidR="00D63900" w:rsidRPr="00D63900" w:rsidRDefault="00D63900" w:rsidP="00152FE4">
      <w:pPr>
        <w:spacing w:after="0" w:line="240" w:lineRule="auto"/>
        <w:rPr>
          <w:b/>
          <w:color w:val="FF0000"/>
          <w:sz w:val="20"/>
          <w:szCs w:val="20"/>
        </w:rPr>
      </w:pPr>
    </w:p>
    <w:p w14:paraId="7F90BC9D" w14:textId="71D3D686" w:rsidR="00E774B1" w:rsidRPr="00C57D5A" w:rsidRDefault="00C82501" w:rsidP="00E774B1">
      <w:pPr>
        <w:rPr>
          <w:sz w:val="18"/>
          <w:szCs w:val="18"/>
        </w:rPr>
      </w:pPr>
      <w:r w:rsidRPr="00C57D5A">
        <w:rPr>
          <w:sz w:val="18"/>
          <w:szCs w:val="18"/>
        </w:rPr>
        <w:t>Effective Jan 1, 2023 the</w:t>
      </w:r>
      <w:r w:rsidR="00D40243" w:rsidRPr="00C57D5A">
        <w:rPr>
          <w:sz w:val="18"/>
          <w:szCs w:val="18"/>
        </w:rPr>
        <w:t xml:space="preserve"> </w:t>
      </w:r>
      <w:r w:rsidR="007F220A" w:rsidRPr="00C57D5A">
        <w:rPr>
          <w:sz w:val="18"/>
          <w:szCs w:val="18"/>
        </w:rPr>
        <w:t xml:space="preserve">new </w:t>
      </w:r>
      <w:r w:rsidR="00122C2D" w:rsidRPr="00C57D5A">
        <w:rPr>
          <w:sz w:val="18"/>
          <w:szCs w:val="18"/>
        </w:rPr>
        <w:t>20</w:t>
      </w:r>
      <w:r w:rsidR="00936085" w:rsidRPr="00C57D5A">
        <w:rPr>
          <w:sz w:val="18"/>
          <w:szCs w:val="18"/>
        </w:rPr>
        <w:t>22</w:t>
      </w:r>
      <w:r w:rsidR="00D40243" w:rsidRPr="00C57D5A">
        <w:rPr>
          <w:sz w:val="18"/>
          <w:szCs w:val="18"/>
        </w:rPr>
        <w:t xml:space="preserve"> </w:t>
      </w:r>
      <w:r w:rsidR="00936085" w:rsidRPr="00C57D5A">
        <w:rPr>
          <w:sz w:val="18"/>
          <w:szCs w:val="18"/>
        </w:rPr>
        <w:t>California Energy Code</w:t>
      </w:r>
      <w:r w:rsidR="007F220A" w:rsidRPr="00C57D5A">
        <w:rPr>
          <w:sz w:val="18"/>
          <w:szCs w:val="18"/>
        </w:rPr>
        <w:t xml:space="preserve"> </w:t>
      </w:r>
      <w:r w:rsidRPr="00C57D5A">
        <w:rPr>
          <w:sz w:val="18"/>
          <w:szCs w:val="18"/>
        </w:rPr>
        <w:t xml:space="preserve">Section 150.1(c)14 </w:t>
      </w:r>
      <w:r w:rsidR="007F220A" w:rsidRPr="00C57D5A">
        <w:rPr>
          <w:sz w:val="18"/>
          <w:szCs w:val="18"/>
        </w:rPr>
        <w:t xml:space="preserve">requires </w:t>
      </w:r>
      <w:r w:rsidR="00D70C6C" w:rsidRPr="00C57D5A">
        <w:rPr>
          <w:sz w:val="18"/>
          <w:szCs w:val="18"/>
        </w:rPr>
        <w:t>all single-family residential buildings shall have a newly installed photovoltaic (PV) system</w:t>
      </w:r>
      <w:r w:rsidR="00EE561E">
        <w:rPr>
          <w:sz w:val="18"/>
          <w:szCs w:val="18"/>
        </w:rPr>
        <w:t xml:space="preserve"> when using prescriptive compliance approach/component packages for newly constructed buildings</w:t>
      </w:r>
      <w:r w:rsidR="00D70C6C" w:rsidRPr="00C57D5A">
        <w:rPr>
          <w:sz w:val="18"/>
          <w:szCs w:val="18"/>
        </w:rPr>
        <w:t xml:space="preserve">. </w:t>
      </w:r>
      <w:r w:rsidR="005F5107">
        <w:rPr>
          <w:sz w:val="18"/>
          <w:szCs w:val="18"/>
        </w:rPr>
        <w:t xml:space="preserve">Photovoltaic (PV) systems are not required for additions [per </w:t>
      </w:r>
      <w:r w:rsidR="005F5107">
        <w:rPr>
          <w:rFonts w:cstheme="minorHAnsi"/>
          <w:sz w:val="18"/>
          <w:szCs w:val="18"/>
        </w:rPr>
        <w:t>§</w:t>
      </w:r>
      <w:r w:rsidR="005F5107">
        <w:rPr>
          <w:sz w:val="18"/>
          <w:szCs w:val="18"/>
        </w:rPr>
        <w:t xml:space="preserve"> 150.2(a) exception 5]. </w:t>
      </w:r>
      <w:r w:rsidR="00E774B1" w:rsidRPr="00C57D5A">
        <w:rPr>
          <w:sz w:val="18"/>
          <w:szCs w:val="18"/>
        </w:rPr>
        <w:t xml:space="preserve">The 2022 California Energy Code now classifies these buildings as single-family buildings: single-family dwellings, duplexes, townhouses of any height, and accessory dwelling units (ADU). </w:t>
      </w:r>
    </w:p>
    <w:p w14:paraId="07FC6893" w14:textId="6EA0E046" w:rsidR="00D70C6C" w:rsidRPr="00C57D5A" w:rsidRDefault="00D70C6C" w:rsidP="00C82501">
      <w:pPr>
        <w:rPr>
          <w:sz w:val="18"/>
          <w:szCs w:val="18"/>
        </w:rPr>
      </w:pPr>
      <w:r w:rsidRPr="00C57D5A">
        <w:rPr>
          <w:sz w:val="18"/>
          <w:szCs w:val="18"/>
        </w:rPr>
        <w:t>The annual electrical output of the PV system shall be no less than the smaller of a PV system size determined using Equation 150.1-C, or the maximum PV system size that can be installed on the building’s Solar Access Roof Area (SARA).</w:t>
      </w:r>
    </w:p>
    <w:p w14:paraId="553DF952" w14:textId="637FC604" w:rsidR="00D70C6C" w:rsidRPr="00C57D5A" w:rsidRDefault="00D70C6C" w:rsidP="00E774B1">
      <w:pPr>
        <w:pStyle w:val="ListParagraph"/>
        <w:numPr>
          <w:ilvl w:val="0"/>
          <w:numId w:val="18"/>
        </w:numPr>
        <w:rPr>
          <w:sz w:val="18"/>
          <w:szCs w:val="18"/>
        </w:rPr>
      </w:pPr>
      <w:r w:rsidRPr="00C57D5A">
        <w:rPr>
          <w:b/>
          <w:bCs/>
          <w:sz w:val="18"/>
          <w:szCs w:val="18"/>
        </w:rPr>
        <w:t>SARA includes</w:t>
      </w:r>
      <w:r w:rsidRPr="00C57D5A">
        <w:rPr>
          <w:sz w:val="18"/>
          <w:szCs w:val="18"/>
        </w:rPr>
        <w:t xml:space="preserve"> the area of the building’s roof space capable of structurally supporting a PV system, and the area of all roof space on covered parking areas, carports, and all other newly constructed structures on the site that are compatible with supporting a PV system per</w:t>
      </w:r>
      <w:r w:rsidR="00E774B1" w:rsidRPr="00C57D5A">
        <w:rPr>
          <w:sz w:val="18"/>
          <w:szCs w:val="18"/>
        </w:rPr>
        <w:t xml:space="preserve"> California Building Code </w:t>
      </w:r>
      <w:r w:rsidR="00152FE4" w:rsidRPr="00C57D5A">
        <w:rPr>
          <w:rFonts w:cstheme="minorHAnsi"/>
          <w:sz w:val="18"/>
          <w:szCs w:val="18"/>
        </w:rPr>
        <w:t>§</w:t>
      </w:r>
      <w:r w:rsidRPr="00C57D5A">
        <w:rPr>
          <w:sz w:val="18"/>
          <w:szCs w:val="18"/>
        </w:rPr>
        <w:t xml:space="preserve"> 1511.2. </w:t>
      </w:r>
    </w:p>
    <w:p w14:paraId="1B8D4E2C" w14:textId="1666BC27" w:rsidR="00D70C6C" w:rsidRPr="00C57D5A" w:rsidRDefault="00D70C6C" w:rsidP="00E774B1">
      <w:pPr>
        <w:pStyle w:val="ListParagraph"/>
        <w:numPr>
          <w:ilvl w:val="0"/>
          <w:numId w:val="18"/>
        </w:numPr>
        <w:rPr>
          <w:sz w:val="18"/>
          <w:szCs w:val="18"/>
        </w:rPr>
      </w:pPr>
      <w:r w:rsidRPr="00C57D5A">
        <w:rPr>
          <w:b/>
          <w:bCs/>
          <w:sz w:val="18"/>
          <w:szCs w:val="18"/>
        </w:rPr>
        <w:t>SARA does NOT include:</w:t>
      </w:r>
    </w:p>
    <w:p w14:paraId="79122C43" w14:textId="6D9A433A" w:rsidR="00D70C6C" w:rsidRPr="00C57D5A" w:rsidRDefault="00D70C6C" w:rsidP="00152FE4">
      <w:pPr>
        <w:pStyle w:val="ListParagraph"/>
        <w:numPr>
          <w:ilvl w:val="0"/>
          <w:numId w:val="20"/>
        </w:numPr>
        <w:ind w:left="792"/>
        <w:rPr>
          <w:sz w:val="18"/>
          <w:szCs w:val="18"/>
        </w:rPr>
      </w:pPr>
      <w:r w:rsidRPr="00C57D5A">
        <w:rPr>
          <w:sz w:val="18"/>
          <w:szCs w:val="18"/>
        </w:rPr>
        <w:t xml:space="preserve">Any roof area that has </w:t>
      </w:r>
      <w:r w:rsidR="00152FE4" w:rsidRPr="00C57D5A">
        <w:rPr>
          <w:sz w:val="18"/>
          <w:szCs w:val="18"/>
        </w:rPr>
        <w:t>&lt;</w:t>
      </w:r>
      <w:r w:rsidRPr="00C57D5A">
        <w:rPr>
          <w:sz w:val="18"/>
          <w:szCs w:val="18"/>
        </w:rPr>
        <w:t xml:space="preserve"> 70</w:t>
      </w:r>
      <w:r w:rsidR="00152FE4" w:rsidRPr="00C57D5A">
        <w:rPr>
          <w:sz w:val="18"/>
          <w:szCs w:val="18"/>
        </w:rPr>
        <w:t>%</w:t>
      </w:r>
      <w:r w:rsidRPr="00C57D5A">
        <w:rPr>
          <w:sz w:val="18"/>
          <w:szCs w:val="18"/>
        </w:rPr>
        <w:t xml:space="preserve"> annual solar access. Annual solar access is determined by dividing the total annual solar insolation, accounting for shading obstructions, by the total annual solar insolation if the same areas were unshaded by obstructions. For steep slope roofs only shading from existing permanent natural or manmade obstructions that are external to the dwelling, including but not limited to trees, hills, and adjacent structures, shall be considered for annual solar access calculations. For low slope roofs, all obstructions including those that are external to the dwelling unit, and obstructions that are part of the building design and elevation features shall be considered for the annual solar access calculations.</w:t>
      </w:r>
    </w:p>
    <w:p w14:paraId="2C15F04F" w14:textId="1FAA7143" w:rsidR="00D70C6C" w:rsidRPr="00C57D5A" w:rsidRDefault="00D70C6C" w:rsidP="00152FE4">
      <w:pPr>
        <w:pStyle w:val="ListParagraph"/>
        <w:numPr>
          <w:ilvl w:val="0"/>
          <w:numId w:val="20"/>
        </w:numPr>
        <w:ind w:left="792"/>
        <w:rPr>
          <w:sz w:val="18"/>
          <w:szCs w:val="18"/>
        </w:rPr>
      </w:pPr>
      <w:r w:rsidRPr="00C57D5A">
        <w:rPr>
          <w:sz w:val="18"/>
          <w:szCs w:val="18"/>
        </w:rPr>
        <w:t xml:space="preserve">Occupied roof areas as specified by CBC </w:t>
      </w:r>
      <w:r w:rsidR="00152FE4" w:rsidRPr="00C57D5A">
        <w:rPr>
          <w:rFonts w:cstheme="minorHAnsi"/>
          <w:sz w:val="18"/>
          <w:szCs w:val="18"/>
        </w:rPr>
        <w:t>§</w:t>
      </w:r>
      <w:r w:rsidRPr="00C57D5A">
        <w:rPr>
          <w:sz w:val="18"/>
          <w:szCs w:val="18"/>
        </w:rPr>
        <w:t xml:space="preserve"> 503.1.4.</w:t>
      </w:r>
    </w:p>
    <w:p w14:paraId="7CC27E61" w14:textId="165613E4" w:rsidR="00D70C6C" w:rsidRPr="00C57D5A" w:rsidRDefault="00D70C6C" w:rsidP="00152FE4">
      <w:pPr>
        <w:pStyle w:val="ListParagraph"/>
        <w:numPr>
          <w:ilvl w:val="0"/>
          <w:numId w:val="20"/>
        </w:numPr>
        <w:ind w:left="792"/>
        <w:rPr>
          <w:sz w:val="18"/>
          <w:szCs w:val="18"/>
        </w:rPr>
      </w:pPr>
      <w:r w:rsidRPr="00C57D5A">
        <w:rPr>
          <w:sz w:val="18"/>
          <w:szCs w:val="18"/>
        </w:rPr>
        <w:t>Roof area that is otherwise not available due to compliance with other building code requirements if confirmed by the</w:t>
      </w:r>
      <w:r w:rsidR="00152FE4" w:rsidRPr="00C57D5A">
        <w:rPr>
          <w:sz w:val="18"/>
          <w:szCs w:val="18"/>
        </w:rPr>
        <w:t xml:space="preserve"> California Energy Commission</w:t>
      </w:r>
      <w:r w:rsidRPr="00C57D5A">
        <w:rPr>
          <w:sz w:val="18"/>
          <w:szCs w:val="18"/>
        </w:rPr>
        <w:t xml:space="preserve"> Executive Director.</w:t>
      </w:r>
    </w:p>
    <w:p w14:paraId="6FC2EF98" w14:textId="747FB023" w:rsidR="00E774B1" w:rsidRPr="00C57D5A" w:rsidRDefault="00D70C6C" w:rsidP="007C0232">
      <w:pPr>
        <w:spacing w:after="0"/>
        <w:jc w:val="center"/>
        <w:rPr>
          <w:b/>
          <w:bCs/>
          <w:sz w:val="18"/>
          <w:szCs w:val="18"/>
        </w:rPr>
      </w:pPr>
      <w:r w:rsidRPr="00C57D5A">
        <w:rPr>
          <w:b/>
          <w:bCs/>
          <w:sz w:val="18"/>
          <w:szCs w:val="18"/>
        </w:rPr>
        <w:t>EQUATION 150.1-C</w:t>
      </w:r>
    </w:p>
    <w:p w14:paraId="31C2EFE1" w14:textId="1E79463C" w:rsidR="00E774B1" w:rsidRPr="00C57D5A" w:rsidRDefault="00D70C6C" w:rsidP="00C57D5A">
      <w:pPr>
        <w:spacing w:after="0"/>
        <w:jc w:val="center"/>
        <w:rPr>
          <w:sz w:val="18"/>
          <w:szCs w:val="18"/>
        </w:rPr>
      </w:pPr>
      <w:r w:rsidRPr="00C57D5A">
        <w:rPr>
          <w:b/>
          <w:bCs/>
          <w:sz w:val="18"/>
          <w:szCs w:val="18"/>
        </w:rPr>
        <w:t>ANNUAL PHOTOVOLTAIC ELECTRICAL OUTPU</w:t>
      </w:r>
      <w:r w:rsidR="00E774B1" w:rsidRPr="00C57D5A">
        <w:rPr>
          <w:b/>
          <w:bCs/>
          <w:sz w:val="18"/>
          <w:szCs w:val="18"/>
        </w:rPr>
        <w:t>T</w:t>
      </w:r>
    </w:p>
    <w:tbl>
      <w:tblPr>
        <w:tblStyle w:val="TableGrid"/>
        <w:tblW w:w="0" w:type="auto"/>
        <w:tblInd w:w="3145" w:type="dxa"/>
        <w:tblLook w:val="04A0" w:firstRow="1" w:lastRow="0" w:firstColumn="1" w:lastColumn="0" w:noHBand="0" w:noVBand="1"/>
      </w:tblPr>
      <w:tblGrid>
        <w:gridCol w:w="3740"/>
      </w:tblGrid>
      <w:tr w:rsidR="00C57D5A" w:rsidRPr="00C57D5A" w14:paraId="3DDF38B9" w14:textId="77777777" w:rsidTr="00C57D5A">
        <w:trPr>
          <w:trHeight w:val="296"/>
        </w:trPr>
        <w:tc>
          <w:tcPr>
            <w:tcW w:w="3740" w:type="dxa"/>
          </w:tcPr>
          <w:p w14:paraId="17117510" w14:textId="77777777" w:rsidR="00C57D5A" w:rsidRPr="00C57D5A" w:rsidRDefault="00C57D5A" w:rsidP="00C57D5A">
            <w:pPr>
              <w:jc w:val="center"/>
              <w:rPr>
                <w:b/>
                <w:bCs/>
                <w:sz w:val="18"/>
                <w:szCs w:val="18"/>
              </w:rPr>
            </w:pPr>
          </w:p>
          <w:p w14:paraId="567F9DB7" w14:textId="68797885" w:rsidR="00C57D5A" w:rsidRPr="00C57D5A" w:rsidRDefault="00C57D5A" w:rsidP="00C57D5A">
            <w:pPr>
              <w:jc w:val="center"/>
              <w:rPr>
                <w:b/>
                <w:bCs/>
                <w:sz w:val="18"/>
                <w:szCs w:val="18"/>
              </w:rPr>
            </w:pPr>
            <w:r w:rsidRPr="00C57D5A">
              <w:rPr>
                <w:b/>
                <w:bCs/>
                <w:sz w:val="18"/>
                <w:szCs w:val="18"/>
              </w:rPr>
              <w:t>kW</w:t>
            </w:r>
            <w:r w:rsidRPr="00C57D5A">
              <w:rPr>
                <w:b/>
                <w:bCs/>
                <w:sz w:val="18"/>
                <w:szCs w:val="18"/>
                <w:vertAlign w:val="subscript"/>
              </w:rPr>
              <w:t>PV</w:t>
            </w:r>
            <w:r w:rsidRPr="00C57D5A">
              <w:rPr>
                <w:b/>
                <w:bCs/>
                <w:sz w:val="18"/>
                <w:szCs w:val="18"/>
              </w:rPr>
              <w:t xml:space="preserve"> = (CFA × A)/1000 +(N</w:t>
            </w:r>
            <w:r w:rsidRPr="00C57D5A">
              <w:rPr>
                <w:b/>
                <w:bCs/>
                <w:sz w:val="18"/>
                <w:szCs w:val="18"/>
                <w:vertAlign w:val="subscript"/>
              </w:rPr>
              <w:t>DU</w:t>
            </w:r>
            <w:r w:rsidRPr="00C57D5A">
              <w:rPr>
                <w:b/>
                <w:bCs/>
                <w:sz w:val="18"/>
                <w:szCs w:val="18"/>
              </w:rPr>
              <w:t xml:space="preserve"> × B)</w:t>
            </w:r>
          </w:p>
          <w:p w14:paraId="1B0C31CD" w14:textId="77777777" w:rsidR="00C57D5A" w:rsidRPr="00C57D5A" w:rsidRDefault="00C57D5A" w:rsidP="007C0232">
            <w:pPr>
              <w:jc w:val="center"/>
              <w:rPr>
                <w:b/>
                <w:bCs/>
                <w:sz w:val="18"/>
                <w:szCs w:val="18"/>
              </w:rPr>
            </w:pPr>
          </w:p>
        </w:tc>
      </w:tr>
    </w:tbl>
    <w:p w14:paraId="76699CE1" w14:textId="55F2965F" w:rsidR="00D70C6C" w:rsidRPr="00C57D5A" w:rsidRDefault="00E774B1" w:rsidP="007C0232">
      <w:pPr>
        <w:spacing w:after="0"/>
        <w:rPr>
          <w:sz w:val="18"/>
          <w:szCs w:val="18"/>
        </w:rPr>
      </w:pPr>
      <w:r w:rsidRPr="00C57D5A">
        <w:rPr>
          <w:sz w:val="18"/>
          <w:szCs w:val="18"/>
        </w:rPr>
        <w:t>where</w:t>
      </w:r>
      <w:r w:rsidR="00D70C6C" w:rsidRPr="00C57D5A">
        <w:rPr>
          <w:sz w:val="18"/>
          <w:szCs w:val="1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1367F0" w:rsidRPr="00C57D5A" w14:paraId="4FA7B583" w14:textId="77777777" w:rsidTr="00C57D5A">
        <w:tc>
          <w:tcPr>
            <w:tcW w:w="3685" w:type="dxa"/>
          </w:tcPr>
          <w:p w14:paraId="2E3546E5" w14:textId="0908B76F" w:rsidR="001367F0" w:rsidRPr="00C57D5A" w:rsidRDefault="001367F0" w:rsidP="007C0232">
            <w:pPr>
              <w:rPr>
                <w:sz w:val="18"/>
                <w:szCs w:val="18"/>
              </w:rPr>
            </w:pPr>
            <w:r w:rsidRPr="00C57D5A">
              <w:rPr>
                <w:sz w:val="18"/>
                <w:szCs w:val="18"/>
              </w:rPr>
              <w:t>kW</w:t>
            </w:r>
            <w:r w:rsidRPr="00C57D5A">
              <w:rPr>
                <w:sz w:val="18"/>
                <w:szCs w:val="18"/>
                <w:vertAlign w:val="subscript"/>
              </w:rPr>
              <w:t>PV</w:t>
            </w:r>
            <w:r w:rsidRPr="00C57D5A">
              <w:rPr>
                <w:sz w:val="18"/>
                <w:szCs w:val="18"/>
              </w:rPr>
              <w:t xml:space="preserve">    = kW</w:t>
            </w:r>
            <w:r w:rsidRPr="00C57D5A">
              <w:rPr>
                <w:sz w:val="18"/>
                <w:szCs w:val="18"/>
                <w:vertAlign w:val="subscript"/>
              </w:rPr>
              <w:t>dc</w:t>
            </w:r>
            <w:r w:rsidRPr="00C57D5A">
              <w:rPr>
                <w:sz w:val="18"/>
                <w:szCs w:val="18"/>
              </w:rPr>
              <w:t xml:space="preserve"> size of the PV system</w:t>
            </w:r>
          </w:p>
        </w:tc>
        <w:tc>
          <w:tcPr>
            <w:tcW w:w="5665" w:type="dxa"/>
          </w:tcPr>
          <w:p w14:paraId="4CED88D8" w14:textId="5C5C7AD4" w:rsidR="001367F0" w:rsidRPr="00C57D5A" w:rsidRDefault="001367F0" w:rsidP="00670423">
            <w:pPr>
              <w:ind w:left="438" w:hanging="438"/>
              <w:rPr>
                <w:sz w:val="18"/>
                <w:szCs w:val="18"/>
              </w:rPr>
            </w:pPr>
            <w:r w:rsidRPr="00C57D5A">
              <w:rPr>
                <w:sz w:val="18"/>
                <w:szCs w:val="18"/>
              </w:rPr>
              <w:t>A</w:t>
            </w:r>
            <w:r w:rsidR="00C57D5A">
              <w:rPr>
                <w:sz w:val="18"/>
                <w:szCs w:val="18"/>
              </w:rPr>
              <w:t xml:space="preserve">   </w:t>
            </w:r>
            <w:r w:rsidRPr="00C57D5A">
              <w:rPr>
                <w:sz w:val="18"/>
                <w:szCs w:val="18"/>
              </w:rPr>
              <w:t xml:space="preserve"> = CFA adjustment factor from Table 150.1-C</w:t>
            </w:r>
            <w:r w:rsidR="00670423">
              <w:rPr>
                <w:sz w:val="18"/>
                <w:szCs w:val="18"/>
              </w:rPr>
              <w:t xml:space="preserve"> (i.e., A =</w:t>
            </w:r>
            <w:r w:rsidR="00C57D5A">
              <w:rPr>
                <w:sz w:val="18"/>
                <w:szCs w:val="18"/>
              </w:rPr>
              <w:t xml:space="preserve"> 0.627 for Ontario </w:t>
            </w:r>
            <w:r w:rsidR="00670423">
              <w:rPr>
                <w:sz w:val="18"/>
                <w:szCs w:val="18"/>
              </w:rPr>
              <w:t xml:space="preserve">                        </w:t>
            </w:r>
            <w:r w:rsidR="00C57D5A">
              <w:rPr>
                <w:sz w:val="18"/>
                <w:szCs w:val="18"/>
              </w:rPr>
              <w:t>climate zone 10</w:t>
            </w:r>
            <w:r w:rsidR="00670423">
              <w:rPr>
                <w:sz w:val="18"/>
                <w:szCs w:val="18"/>
              </w:rPr>
              <w:t>)</w:t>
            </w:r>
          </w:p>
        </w:tc>
      </w:tr>
      <w:tr w:rsidR="001367F0" w:rsidRPr="00C57D5A" w14:paraId="542ABE86" w14:textId="77777777" w:rsidTr="00C57D5A">
        <w:tc>
          <w:tcPr>
            <w:tcW w:w="3685" w:type="dxa"/>
          </w:tcPr>
          <w:p w14:paraId="6FEB43C5" w14:textId="58FDADDF" w:rsidR="001367F0" w:rsidRPr="00C57D5A" w:rsidRDefault="001367F0" w:rsidP="007C0232">
            <w:pPr>
              <w:rPr>
                <w:sz w:val="18"/>
                <w:szCs w:val="18"/>
              </w:rPr>
            </w:pPr>
            <w:r w:rsidRPr="00C57D5A">
              <w:rPr>
                <w:sz w:val="18"/>
                <w:szCs w:val="18"/>
              </w:rPr>
              <w:t>CFA      = Conditioned floor area</w:t>
            </w:r>
          </w:p>
        </w:tc>
        <w:tc>
          <w:tcPr>
            <w:tcW w:w="5665" w:type="dxa"/>
          </w:tcPr>
          <w:p w14:paraId="2F93CCF6" w14:textId="61F64C30" w:rsidR="001367F0" w:rsidRPr="00C57D5A" w:rsidRDefault="001367F0" w:rsidP="00670423">
            <w:pPr>
              <w:ind w:left="438" w:hanging="438"/>
              <w:rPr>
                <w:sz w:val="18"/>
                <w:szCs w:val="18"/>
              </w:rPr>
            </w:pPr>
            <w:r w:rsidRPr="00C57D5A">
              <w:rPr>
                <w:sz w:val="18"/>
                <w:szCs w:val="18"/>
              </w:rPr>
              <w:t>B    = Dwelling unit adjustment factor from Table 150.1-C</w:t>
            </w:r>
            <w:r w:rsidR="00670423">
              <w:rPr>
                <w:sz w:val="18"/>
                <w:szCs w:val="18"/>
              </w:rPr>
              <w:t xml:space="preserve"> (i.e., B = 1.41 for Ontario climate zone 10) </w:t>
            </w:r>
          </w:p>
        </w:tc>
      </w:tr>
      <w:tr w:rsidR="001367F0" w:rsidRPr="00C57D5A" w14:paraId="726D4BAB" w14:textId="77777777" w:rsidTr="00C57D5A">
        <w:tc>
          <w:tcPr>
            <w:tcW w:w="3685" w:type="dxa"/>
          </w:tcPr>
          <w:p w14:paraId="06DC0DA0" w14:textId="23E3CCFD" w:rsidR="001367F0" w:rsidRPr="00C57D5A" w:rsidRDefault="001367F0" w:rsidP="007C0232">
            <w:pPr>
              <w:rPr>
                <w:sz w:val="18"/>
                <w:szCs w:val="18"/>
              </w:rPr>
            </w:pPr>
            <w:r w:rsidRPr="00C57D5A">
              <w:rPr>
                <w:sz w:val="18"/>
                <w:szCs w:val="18"/>
              </w:rPr>
              <w:t>N</w:t>
            </w:r>
            <w:r w:rsidRPr="00C57D5A">
              <w:rPr>
                <w:sz w:val="18"/>
                <w:szCs w:val="18"/>
                <w:vertAlign w:val="subscript"/>
              </w:rPr>
              <w:t>DU</w:t>
            </w:r>
            <w:r w:rsidRPr="00C57D5A">
              <w:rPr>
                <w:sz w:val="18"/>
                <w:szCs w:val="18"/>
              </w:rPr>
              <w:t xml:space="preserve">      = Number of dwelling units</w:t>
            </w:r>
          </w:p>
        </w:tc>
        <w:tc>
          <w:tcPr>
            <w:tcW w:w="5665" w:type="dxa"/>
          </w:tcPr>
          <w:p w14:paraId="430358AA" w14:textId="77777777" w:rsidR="001367F0" w:rsidRPr="00C57D5A" w:rsidRDefault="001367F0" w:rsidP="007C0232">
            <w:pPr>
              <w:rPr>
                <w:sz w:val="18"/>
                <w:szCs w:val="18"/>
              </w:rPr>
            </w:pPr>
          </w:p>
        </w:tc>
      </w:tr>
    </w:tbl>
    <w:p w14:paraId="26FA38E3" w14:textId="0C4E03CD" w:rsidR="00D70C6C" w:rsidRPr="00C57D5A" w:rsidRDefault="00D70C6C" w:rsidP="001367F0">
      <w:pPr>
        <w:spacing w:after="0"/>
        <w:ind w:left="720"/>
        <w:rPr>
          <w:sz w:val="18"/>
          <w:szCs w:val="18"/>
        </w:rPr>
      </w:pPr>
      <w:r w:rsidRPr="00C57D5A">
        <w:rPr>
          <w:sz w:val="18"/>
          <w:szCs w:val="18"/>
        </w:rPr>
        <w:t xml:space="preserve"> </w:t>
      </w:r>
    </w:p>
    <w:p w14:paraId="4FC29804" w14:textId="02108DF8" w:rsidR="00AE116A" w:rsidRPr="00C57D5A" w:rsidRDefault="00AE116A" w:rsidP="00AE116A">
      <w:pPr>
        <w:spacing w:after="0"/>
        <w:rPr>
          <w:b/>
          <w:bCs/>
          <w:sz w:val="18"/>
          <w:szCs w:val="18"/>
        </w:rPr>
      </w:pPr>
      <w:r w:rsidRPr="00C57D5A">
        <w:rPr>
          <w:b/>
          <w:bCs/>
          <w:sz w:val="18"/>
          <w:szCs w:val="18"/>
        </w:rPr>
        <w:t>EXCEPTIONS:</w:t>
      </w:r>
    </w:p>
    <w:p w14:paraId="0341C059" w14:textId="09F0E92D" w:rsidR="00D70C6C" w:rsidRPr="00C57D5A" w:rsidRDefault="00AE116A" w:rsidP="00C57D5A">
      <w:pPr>
        <w:pStyle w:val="ListParagraph"/>
        <w:numPr>
          <w:ilvl w:val="0"/>
          <w:numId w:val="22"/>
        </w:numPr>
        <w:spacing w:after="0"/>
        <w:ind w:left="360"/>
        <w:rPr>
          <w:sz w:val="18"/>
          <w:szCs w:val="18"/>
        </w:rPr>
      </w:pPr>
      <w:r w:rsidRPr="00C57D5A">
        <w:rPr>
          <w:b/>
          <w:bCs/>
          <w:sz w:val="18"/>
          <w:szCs w:val="18"/>
        </w:rPr>
        <w:t>Steep</w:t>
      </w:r>
      <w:r w:rsidR="001367F0" w:rsidRPr="00C57D5A">
        <w:rPr>
          <w:b/>
          <w:bCs/>
          <w:sz w:val="18"/>
          <w:szCs w:val="18"/>
        </w:rPr>
        <w:t>-</w:t>
      </w:r>
      <w:r w:rsidRPr="00C57D5A">
        <w:rPr>
          <w:b/>
          <w:bCs/>
          <w:sz w:val="18"/>
          <w:szCs w:val="18"/>
        </w:rPr>
        <w:t>Slope</w:t>
      </w:r>
      <w:r w:rsidR="001367F0" w:rsidRPr="00C57D5A">
        <w:rPr>
          <w:b/>
          <w:bCs/>
          <w:sz w:val="18"/>
          <w:szCs w:val="18"/>
        </w:rPr>
        <w:t>d</w:t>
      </w:r>
      <w:r w:rsidRPr="00C57D5A">
        <w:rPr>
          <w:b/>
          <w:bCs/>
          <w:sz w:val="18"/>
          <w:szCs w:val="18"/>
        </w:rPr>
        <w:t xml:space="preserve"> Roofs:</w:t>
      </w:r>
      <w:r w:rsidRPr="00C57D5A">
        <w:rPr>
          <w:sz w:val="18"/>
          <w:szCs w:val="18"/>
        </w:rPr>
        <w:t xml:space="preserve"> </w:t>
      </w:r>
      <w:r w:rsidR="00D70C6C" w:rsidRPr="00C57D5A">
        <w:rPr>
          <w:sz w:val="18"/>
          <w:szCs w:val="18"/>
        </w:rPr>
        <w:t xml:space="preserve">SARA shall not consider roof areas with a northerly azimuth that lies between 300 degrees and 90 degrees from true north. No PV system is required if the SARA is  </w:t>
      </w:r>
      <w:r w:rsidRPr="00C57D5A">
        <w:rPr>
          <w:sz w:val="18"/>
          <w:szCs w:val="18"/>
        </w:rPr>
        <w:t xml:space="preserve">&lt; </w:t>
      </w:r>
      <w:r w:rsidR="00D70C6C" w:rsidRPr="00C57D5A">
        <w:rPr>
          <w:sz w:val="18"/>
          <w:szCs w:val="18"/>
        </w:rPr>
        <w:t xml:space="preserve">80 contiguous </w:t>
      </w:r>
      <w:r w:rsidRPr="00C57D5A">
        <w:rPr>
          <w:sz w:val="18"/>
          <w:szCs w:val="18"/>
        </w:rPr>
        <w:t>ft</w:t>
      </w:r>
      <w:r w:rsidRPr="00C57D5A">
        <w:rPr>
          <w:sz w:val="18"/>
          <w:szCs w:val="18"/>
          <w:vertAlign w:val="superscript"/>
        </w:rPr>
        <w:t>2</w:t>
      </w:r>
      <w:r w:rsidR="00D70C6C" w:rsidRPr="00C57D5A">
        <w:rPr>
          <w:sz w:val="18"/>
          <w:szCs w:val="18"/>
        </w:rPr>
        <w:t xml:space="preserve">. </w:t>
      </w:r>
    </w:p>
    <w:p w14:paraId="28C05A5B" w14:textId="2AC00B92" w:rsidR="00556845" w:rsidRPr="00C57D5A" w:rsidRDefault="00AE116A" w:rsidP="00C57D5A">
      <w:pPr>
        <w:pStyle w:val="ListParagraph"/>
        <w:numPr>
          <w:ilvl w:val="0"/>
          <w:numId w:val="22"/>
        </w:numPr>
        <w:spacing w:after="0"/>
        <w:ind w:left="360"/>
        <w:rPr>
          <w:sz w:val="18"/>
          <w:szCs w:val="18"/>
        </w:rPr>
      </w:pPr>
      <w:r w:rsidRPr="00C57D5A">
        <w:rPr>
          <w:b/>
          <w:bCs/>
          <w:sz w:val="18"/>
          <w:szCs w:val="18"/>
        </w:rPr>
        <w:t>M</w:t>
      </w:r>
      <w:r w:rsidR="00D70C6C" w:rsidRPr="00C57D5A">
        <w:rPr>
          <w:b/>
          <w:bCs/>
          <w:sz w:val="18"/>
          <w:szCs w:val="18"/>
        </w:rPr>
        <w:t xml:space="preserve">inimum PV </w:t>
      </w:r>
      <w:r w:rsidRPr="00C57D5A">
        <w:rPr>
          <w:b/>
          <w:bCs/>
          <w:sz w:val="18"/>
          <w:szCs w:val="18"/>
        </w:rPr>
        <w:t xml:space="preserve">System Size Specified By </w:t>
      </w:r>
      <w:r w:rsidRPr="00C57D5A">
        <w:rPr>
          <w:rFonts w:cstheme="minorHAnsi"/>
          <w:b/>
          <w:bCs/>
          <w:sz w:val="18"/>
          <w:szCs w:val="18"/>
        </w:rPr>
        <w:t>§</w:t>
      </w:r>
      <w:r w:rsidRPr="00C57D5A">
        <w:rPr>
          <w:b/>
          <w:bCs/>
          <w:sz w:val="18"/>
          <w:szCs w:val="18"/>
        </w:rPr>
        <w:t xml:space="preserve"> 150.1(C)14 </w:t>
      </w:r>
      <w:r w:rsidR="00D70C6C" w:rsidRPr="00C57D5A">
        <w:rPr>
          <w:b/>
          <w:bCs/>
          <w:sz w:val="18"/>
          <w:szCs w:val="18"/>
        </w:rPr>
        <w:t xml:space="preserve"> </w:t>
      </w:r>
      <w:r w:rsidRPr="00C57D5A">
        <w:rPr>
          <w:b/>
          <w:bCs/>
          <w:sz w:val="18"/>
          <w:szCs w:val="18"/>
        </w:rPr>
        <w:t>&lt;</w:t>
      </w:r>
      <w:r w:rsidR="00D70C6C" w:rsidRPr="00C57D5A">
        <w:rPr>
          <w:b/>
          <w:bCs/>
          <w:sz w:val="18"/>
          <w:szCs w:val="18"/>
        </w:rPr>
        <w:t xml:space="preserve"> 1.8 kW</w:t>
      </w:r>
      <w:r w:rsidR="00D70C6C" w:rsidRPr="00C57D5A">
        <w:rPr>
          <w:b/>
          <w:bCs/>
          <w:sz w:val="18"/>
          <w:szCs w:val="18"/>
          <w:vertAlign w:val="subscript"/>
        </w:rPr>
        <w:t>dc</w:t>
      </w:r>
      <w:r w:rsidRPr="00C57D5A">
        <w:rPr>
          <w:b/>
          <w:bCs/>
          <w:sz w:val="18"/>
          <w:szCs w:val="18"/>
        </w:rPr>
        <w:t xml:space="preserve">: </w:t>
      </w:r>
      <w:r w:rsidRPr="00C57D5A">
        <w:rPr>
          <w:sz w:val="18"/>
          <w:szCs w:val="18"/>
        </w:rPr>
        <w:t>No PV system is required.</w:t>
      </w:r>
    </w:p>
    <w:p w14:paraId="3502702F" w14:textId="5B1FAB7E" w:rsidR="00893D89" w:rsidRPr="00C57D5A" w:rsidRDefault="00AE116A" w:rsidP="00C57D5A">
      <w:pPr>
        <w:pStyle w:val="ListParagraph"/>
        <w:numPr>
          <w:ilvl w:val="0"/>
          <w:numId w:val="22"/>
        </w:numPr>
        <w:spacing w:after="0"/>
        <w:ind w:left="360"/>
        <w:rPr>
          <w:rFonts w:cs="TimesNewRomanPSMT"/>
          <w:sz w:val="18"/>
          <w:szCs w:val="18"/>
        </w:rPr>
      </w:pPr>
      <w:r w:rsidRPr="00C57D5A">
        <w:rPr>
          <w:rFonts w:cs="TimesNewRomanPSMT"/>
          <w:b/>
          <w:bCs/>
          <w:sz w:val="18"/>
          <w:szCs w:val="18"/>
        </w:rPr>
        <w:t>Snow</w:t>
      </w:r>
      <w:r w:rsidR="001367F0" w:rsidRPr="00C57D5A">
        <w:rPr>
          <w:rFonts w:cs="TimesNewRomanPSMT"/>
          <w:b/>
          <w:bCs/>
          <w:sz w:val="18"/>
          <w:szCs w:val="18"/>
        </w:rPr>
        <w:t xml:space="preserve"> </w:t>
      </w:r>
      <w:r w:rsidRPr="00C57D5A">
        <w:rPr>
          <w:rFonts w:cs="TimesNewRomanPSMT"/>
          <w:b/>
          <w:bCs/>
          <w:sz w:val="18"/>
          <w:szCs w:val="18"/>
        </w:rPr>
        <w:t>Loads</w:t>
      </w:r>
      <w:r w:rsidR="007C0232" w:rsidRPr="00C57D5A">
        <w:rPr>
          <w:rFonts w:cs="TimesNewRomanPSMT"/>
          <w:b/>
          <w:bCs/>
          <w:sz w:val="18"/>
          <w:szCs w:val="18"/>
        </w:rPr>
        <w:t>:</w:t>
      </w:r>
      <w:r w:rsidR="007C0232" w:rsidRPr="00C57D5A">
        <w:rPr>
          <w:rFonts w:cs="TimesNewRomanPSMT"/>
          <w:sz w:val="18"/>
          <w:szCs w:val="18"/>
        </w:rPr>
        <w:t xml:space="preserve"> Buildings with enforcement-authority-approved roof designs, where the enforcement authority determines it is not possible for the PV system, including panels, modules and components</w:t>
      </w:r>
      <w:r w:rsidR="00893D89" w:rsidRPr="00C57D5A">
        <w:rPr>
          <w:rFonts w:cs="TimesNewRomanPSMT"/>
          <w:sz w:val="18"/>
          <w:szCs w:val="18"/>
        </w:rPr>
        <w:t xml:space="preserve"> and supports and attachments to the roof structure, to meet the requirements of the American Society of Civil Engineers (ASCE), Standard 7-16, Chapter 7, </w:t>
      </w:r>
      <w:bookmarkStart w:id="0" w:name="_Hlk115513271"/>
      <w:r w:rsidR="00893D89" w:rsidRPr="00C57D5A">
        <w:rPr>
          <w:rFonts w:cs="TimesNewRomanPSMT"/>
          <w:sz w:val="18"/>
          <w:szCs w:val="18"/>
        </w:rPr>
        <w:t>Snow Loads</w:t>
      </w:r>
      <w:bookmarkEnd w:id="0"/>
      <w:r w:rsidR="00893D89" w:rsidRPr="00C57D5A">
        <w:rPr>
          <w:rFonts w:cs="TimesNewRomanPSMT"/>
          <w:sz w:val="18"/>
          <w:szCs w:val="18"/>
        </w:rPr>
        <w:t>.</w:t>
      </w:r>
    </w:p>
    <w:p w14:paraId="7AFB78B6" w14:textId="6ECA5C04" w:rsidR="001367F0" w:rsidRPr="00C57D5A" w:rsidRDefault="001367F0" w:rsidP="00C57D5A">
      <w:pPr>
        <w:pStyle w:val="ListParagraph"/>
        <w:numPr>
          <w:ilvl w:val="0"/>
          <w:numId w:val="22"/>
        </w:numPr>
        <w:spacing w:after="0"/>
        <w:ind w:left="360"/>
        <w:jc w:val="both"/>
        <w:rPr>
          <w:rFonts w:cs="TimesNewRomanPSMT"/>
          <w:sz w:val="18"/>
          <w:szCs w:val="18"/>
        </w:rPr>
      </w:pPr>
      <w:r w:rsidRPr="00C57D5A">
        <w:rPr>
          <w:rFonts w:cs="TimesNewRomanPSMT"/>
          <w:b/>
          <w:bCs/>
          <w:sz w:val="18"/>
          <w:szCs w:val="18"/>
        </w:rPr>
        <w:t>Reduced PV kW in Subdivisions:</w:t>
      </w:r>
      <w:r w:rsidR="00893D89" w:rsidRPr="00C57D5A">
        <w:rPr>
          <w:rFonts w:cs="TimesNewRomanPSMT"/>
          <w:sz w:val="18"/>
          <w:szCs w:val="18"/>
        </w:rPr>
        <w:t xml:space="preserve"> For buildings that are approved by the local planning department prior to January 1, 2020 with mandatory conditions for approval:</w:t>
      </w:r>
    </w:p>
    <w:p w14:paraId="7D8F4FA6" w14:textId="42F1B23E" w:rsidR="001367F0" w:rsidRPr="00C57D5A" w:rsidRDefault="00893D89" w:rsidP="00C57D5A">
      <w:pPr>
        <w:pStyle w:val="ListParagraph"/>
        <w:numPr>
          <w:ilvl w:val="0"/>
          <w:numId w:val="23"/>
        </w:numPr>
        <w:spacing w:after="0"/>
        <w:ind w:left="1080"/>
        <w:jc w:val="both"/>
        <w:rPr>
          <w:rFonts w:cs="TimesNewRomanPSMT"/>
          <w:sz w:val="18"/>
          <w:szCs w:val="18"/>
        </w:rPr>
      </w:pPr>
      <w:r w:rsidRPr="00C57D5A">
        <w:rPr>
          <w:rFonts w:cs="TimesNewRomanPSMT"/>
          <w:sz w:val="18"/>
          <w:szCs w:val="18"/>
        </w:rPr>
        <w:t xml:space="preserve">Shading from roof designs and configurations for steep-sloped roofs, which are required by the mandatory conditions for approval, shall be considered for the annual solar access calculations; and </w:t>
      </w:r>
    </w:p>
    <w:p w14:paraId="4EA46CBA" w14:textId="6F2B24B1" w:rsidR="00893D89" w:rsidRPr="00C57D5A" w:rsidRDefault="00893D89" w:rsidP="00C57D5A">
      <w:pPr>
        <w:pStyle w:val="ListParagraph"/>
        <w:numPr>
          <w:ilvl w:val="0"/>
          <w:numId w:val="23"/>
        </w:numPr>
        <w:spacing w:after="0"/>
        <w:ind w:left="1080"/>
        <w:jc w:val="both"/>
        <w:rPr>
          <w:rFonts w:cs="TimesNewRomanPSMT"/>
          <w:sz w:val="18"/>
          <w:szCs w:val="18"/>
        </w:rPr>
      </w:pPr>
      <w:r w:rsidRPr="00C57D5A">
        <w:rPr>
          <w:rFonts w:cs="TimesNewRomanPSMT"/>
          <w:sz w:val="18"/>
          <w:szCs w:val="18"/>
        </w:rPr>
        <w:t xml:space="preserve">Roof areas that are not allowed by the mandatory conditions for approval to have PVs, shall not be considered in determining the SARA. </w:t>
      </w:r>
    </w:p>
    <w:p w14:paraId="77E444D9" w14:textId="40050EEB" w:rsidR="00504798" w:rsidRPr="00C57D5A" w:rsidRDefault="001367F0" w:rsidP="00C57D5A">
      <w:pPr>
        <w:pStyle w:val="ListParagraph"/>
        <w:numPr>
          <w:ilvl w:val="0"/>
          <w:numId w:val="22"/>
        </w:numPr>
        <w:spacing w:after="0"/>
        <w:ind w:left="360"/>
        <w:jc w:val="both"/>
        <w:rPr>
          <w:rFonts w:cs="TimesNewRomanPSMT"/>
          <w:sz w:val="18"/>
          <w:szCs w:val="18"/>
        </w:rPr>
      </w:pPr>
      <w:r w:rsidRPr="00C57D5A">
        <w:rPr>
          <w:rFonts w:cs="TimesNewRomanPSMT"/>
          <w:b/>
          <w:bCs/>
          <w:sz w:val="18"/>
          <w:szCs w:val="18"/>
        </w:rPr>
        <w:t>Reduced PV kW with Battery Storage Systems:</w:t>
      </w:r>
      <w:r w:rsidR="00893D89" w:rsidRPr="00C57D5A">
        <w:rPr>
          <w:rFonts w:cs="TimesNewRomanPSMT"/>
          <w:sz w:val="18"/>
          <w:szCs w:val="18"/>
        </w:rPr>
        <w:t xml:space="preserve"> PV system sizes determined using Equation 150.1-C may be reduced by 25</w:t>
      </w:r>
      <w:r w:rsidRPr="00C57D5A">
        <w:rPr>
          <w:rFonts w:cs="TimesNewRomanPSMT"/>
          <w:sz w:val="18"/>
          <w:szCs w:val="18"/>
        </w:rPr>
        <w:t>%</w:t>
      </w:r>
      <w:r w:rsidR="00893D89" w:rsidRPr="00C57D5A">
        <w:rPr>
          <w:rFonts w:cs="TimesNewRomanPSMT"/>
          <w:sz w:val="18"/>
          <w:szCs w:val="18"/>
        </w:rPr>
        <w:t xml:space="preserve"> if installed in conjunction with a battery storage system. The battery storage system shall meet the qualification requirements specified in Joint Appendix JA12 and have a minimum usable capacity</w:t>
      </w:r>
      <w:r w:rsidRPr="00C57D5A">
        <w:rPr>
          <w:rFonts w:cs="TimesNewRomanPSMT"/>
          <w:sz w:val="18"/>
          <w:szCs w:val="18"/>
        </w:rPr>
        <w:t xml:space="preserve"> </w:t>
      </w:r>
      <w:r w:rsidRPr="00C57D5A">
        <w:rPr>
          <w:rFonts w:cstheme="minorHAnsi"/>
          <w:sz w:val="18"/>
          <w:szCs w:val="18"/>
        </w:rPr>
        <w:t>≥</w:t>
      </w:r>
      <w:r w:rsidR="00893D89" w:rsidRPr="00C57D5A">
        <w:rPr>
          <w:rFonts w:cs="TimesNewRomanPSMT"/>
          <w:sz w:val="18"/>
          <w:szCs w:val="18"/>
        </w:rPr>
        <w:t xml:space="preserve"> 7.5 kWh</w:t>
      </w:r>
      <w:r w:rsidRPr="00C57D5A">
        <w:rPr>
          <w:rFonts w:cs="TimesNewRomanPSMT"/>
          <w:sz w:val="18"/>
          <w:szCs w:val="18"/>
        </w:rPr>
        <w:t>.</w:t>
      </w:r>
    </w:p>
    <w:sectPr w:rsidR="00504798" w:rsidRPr="00C57D5A" w:rsidSect="00B2795C">
      <w:footerReference w:type="default" r:id="rId9"/>
      <w:pgSz w:w="12240" w:h="15840"/>
      <w:pgMar w:top="720" w:right="1080" w:bottom="180" w:left="1080" w:header="720"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7530" w14:textId="77777777" w:rsidR="00095198" w:rsidRDefault="00095198" w:rsidP="0063060B">
      <w:pPr>
        <w:spacing w:after="0" w:line="240" w:lineRule="auto"/>
      </w:pPr>
      <w:r>
        <w:separator/>
      </w:r>
    </w:p>
  </w:endnote>
  <w:endnote w:type="continuationSeparator" w:id="0">
    <w:p w14:paraId="3C2F94B7" w14:textId="77777777" w:rsidR="00095198" w:rsidRDefault="00095198" w:rsidP="0063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A9B7" w14:textId="574A6581" w:rsidR="0063060B" w:rsidRPr="006006A0" w:rsidRDefault="00000000">
    <w:pPr>
      <w:pStyle w:val="Footer"/>
      <w:jc w:val="right"/>
      <w:rPr>
        <w:sz w:val="16"/>
        <w:szCs w:val="16"/>
      </w:rPr>
    </w:pPr>
    <w:sdt>
      <w:sdtPr>
        <w:rPr>
          <w:sz w:val="16"/>
          <w:szCs w:val="16"/>
        </w:rPr>
        <w:alias w:val="Publish Date"/>
        <w:id w:val="29610511"/>
        <w:placeholder>
          <w:docPart w:val="A8E9A967B91D4736B6AC9CCDD081F6D7"/>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Content>
        <w:r w:rsidR="000A3F0B" w:rsidRPr="006006A0">
          <w:rPr>
            <w:sz w:val="16"/>
            <w:szCs w:val="16"/>
          </w:rPr>
          <w:t>1/1/202</w:t>
        </w:r>
        <w:r w:rsidR="004A3E27" w:rsidRPr="006006A0">
          <w:rPr>
            <w:sz w:val="16"/>
            <w:szCs w:val="16"/>
          </w:rPr>
          <w:t>3</w:t>
        </w:r>
      </w:sdtContent>
    </w:sdt>
    <w:r w:rsidR="0063060B" w:rsidRPr="006006A0">
      <w:rPr>
        <w:sz w:val="16"/>
        <w:szCs w:val="16"/>
      </w:rPr>
      <w:t xml:space="preserve"> </w:t>
    </w:r>
    <w:sdt>
      <w:sdtPr>
        <w:rPr>
          <w:sz w:val="16"/>
          <w:szCs w:val="16"/>
        </w:rPr>
        <w:id w:val="29610457"/>
        <w:docPartObj>
          <w:docPartGallery w:val="Page Numbers (Bottom of Page)"/>
          <w:docPartUnique/>
        </w:docPartObj>
      </w:sdtPr>
      <w:sdtContent>
        <w:sdt>
          <w:sdtPr>
            <w:rPr>
              <w:sz w:val="16"/>
              <w:szCs w:val="16"/>
            </w:rPr>
            <w:id w:val="565050523"/>
            <w:docPartObj>
              <w:docPartGallery w:val="Page Numbers (Top of Page)"/>
              <w:docPartUnique/>
            </w:docPartObj>
          </w:sdtPr>
          <w:sdtContent>
            <w:r w:rsidR="006006A0">
              <w:rPr>
                <w:sz w:val="16"/>
                <w:szCs w:val="16"/>
              </w:rPr>
              <w:t xml:space="preserve">                                                                                                    </w:t>
            </w:r>
            <w:r w:rsidR="0063060B" w:rsidRPr="006006A0">
              <w:rPr>
                <w:sz w:val="16"/>
                <w:szCs w:val="16"/>
              </w:rPr>
              <w:t xml:space="preserve">                                                                                                                                           Page </w:t>
            </w:r>
            <w:r w:rsidR="00FA00A8" w:rsidRPr="006006A0">
              <w:rPr>
                <w:b/>
                <w:sz w:val="16"/>
                <w:szCs w:val="16"/>
              </w:rPr>
              <w:fldChar w:fldCharType="begin"/>
            </w:r>
            <w:r w:rsidR="0063060B" w:rsidRPr="006006A0">
              <w:rPr>
                <w:b/>
                <w:sz w:val="16"/>
                <w:szCs w:val="16"/>
              </w:rPr>
              <w:instrText xml:space="preserve"> PAGE </w:instrText>
            </w:r>
            <w:r w:rsidR="00FA00A8" w:rsidRPr="006006A0">
              <w:rPr>
                <w:b/>
                <w:sz w:val="16"/>
                <w:szCs w:val="16"/>
              </w:rPr>
              <w:fldChar w:fldCharType="separate"/>
            </w:r>
            <w:r w:rsidR="000A3F0B" w:rsidRPr="006006A0">
              <w:rPr>
                <w:b/>
                <w:noProof/>
                <w:sz w:val="16"/>
                <w:szCs w:val="16"/>
              </w:rPr>
              <w:t>1</w:t>
            </w:r>
            <w:r w:rsidR="00FA00A8" w:rsidRPr="006006A0">
              <w:rPr>
                <w:b/>
                <w:sz w:val="16"/>
                <w:szCs w:val="16"/>
              </w:rPr>
              <w:fldChar w:fldCharType="end"/>
            </w:r>
            <w:r w:rsidR="0063060B" w:rsidRPr="006006A0">
              <w:rPr>
                <w:sz w:val="16"/>
                <w:szCs w:val="16"/>
              </w:rPr>
              <w:t xml:space="preserve"> of </w:t>
            </w:r>
            <w:r w:rsidR="00FA00A8" w:rsidRPr="006006A0">
              <w:rPr>
                <w:b/>
                <w:sz w:val="16"/>
                <w:szCs w:val="16"/>
              </w:rPr>
              <w:fldChar w:fldCharType="begin"/>
            </w:r>
            <w:r w:rsidR="0063060B" w:rsidRPr="006006A0">
              <w:rPr>
                <w:b/>
                <w:sz w:val="16"/>
                <w:szCs w:val="16"/>
              </w:rPr>
              <w:instrText xml:space="preserve"> NUMPAGES  </w:instrText>
            </w:r>
            <w:r w:rsidR="00FA00A8" w:rsidRPr="006006A0">
              <w:rPr>
                <w:b/>
                <w:sz w:val="16"/>
                <w:szCs w:val="16"/>
              </w:rPr>
              <w:fldChar w:fldCharType="separate"/>
            </w:r>
            <w:r w:rsidR="000A3F0B" w:rsidRPr="006006A0">
              <w:rPr>
                <w:b/>
                <w:noProof/>
                <w:sz w:val="16"/>
                <w:szCs w:val="16"/>
              </w:rPr>
              <w:t>1</w:t>
            </w:r>
            <w:r w:rsidR="00FA00A8" w:rsidRPr="006006A0">
              <w:rPr>
                <w:b/>
                <w:sz w:val="16"/>
                <w:szCs w:val="16"/>
              </w:rPr>
              <w:fldChar w:fldCharType="end"/>
            </w:r>
          </w:sdtContent>
        </w:sdt>
      </w:sdtContent>
    </w:sdt>
  </w:p>
  <w:p w14:paraId="4B6ED7F0" w14:textId="77777777" w:rsidR="006006A0" w:rsidRDefault="006006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B1D8" w14:textId="77777777" w:rsidR="00095198" w:rsidRDefault="00095198" w:rsidP="0063060B">
      <w:pPr>
        <w:spacing w:after="0" w:line="240" w:lineRule="auto"/>
      </w:pPr>
      <w:r>
        <w:separator/>
      </w:r>
    </w:p>
  </w:footnote>
  <w:footnote w:type="continuationSeparator" w:id="0">
    <w:p w14:paraId="65E1DC3B" w14:textId="77777777" w:rsidR="00095198" w:rsidRDefault="00095198" w:rsidP="0063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9ED"/>
    <w:multiLevelType w:val="hybridMultilevel"/>
    <w:tmpl w:val="105E2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1BDA"/>
    <w:multiLevelType w:val="hybridMultilevel"/>
    <w:tmpl w:val="5AA49F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8D2C42"/>
    <w:multiLevelType w:val="hybridMultilevel"/>
    <w:tmpl w:val="1CDEE57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AD38B2"/>
    <w:multiLevelType w:val="hybridMultilevel"/>
    <w:tmpl w:val="BDE0DD9A"/>
    <w:lvl w:ilvl="0" w:tplc="D3504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F059A"/>
    <w:multiLevelType w:val="hybridMultilevel"/>
    <w:tmpl w:val="16DC4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E2519F"/>
    <w:multiLevelType w:val="hybridMultilevel"/>
    <w:tmpl w:val="A7E81F5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C1E33"/>
    <w:multiLevelType w:val="multilevel"/>
    <w:tmpl w:val="0BD09C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1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57042C"/>
    <w:multiLevelType w:val="hybridMultilevel"/>
    <w:tmpl w:val="4EA44D7E"/>
    <w:lvl w:ilvl="0" w:tplc="04090011">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245F0064"/>
    <w:multiLevelType w:val="hybridMultilevel"/>
    <w:tmpl w:val="1E7A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54ADD"/>
    <w:multiLevelType w:val="hybridMultilevel"/>
    <w:tmpl w:val="8DEE4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821FE0"/>
    <w:multiLevelType w:val="hybridMultilevel"/>
    <w:tmpl w:val="2E12C2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41064A"/>
    <w:multiLevelType w:val="hybridMultilevel"/>
    <w:tmpl w:val="0DFCD6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377657"/>
    <w:multiLevelType w:val="hybridMultilevel"/>
    <w:tmpl w:val="8E480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350234"/>
    <w:multiLevelType w:val="hybridMultilevel"/>
    <w:tmpl w:val="6A825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44131"/>
    <w:multiLevelType w:val="hybridMultilevel"/>
    <w:tmpl w:val="7C9CF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B1461F"/>
    <w:multiLevelType w:val="hybridMultilevel"/>
    <w:tmpl w:val="FA1A84E6"/>
    <w:lvl w:ilvl="0" w:tplc="04090017">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4A7C4A59"/>
    <w:multiLevelType w:val="hybridMultilevel"/>
    <w:tmpl w:val="B5BA3D0C"/>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B2E28"/>
    <w:multiLevelType w:val="hybridMultilevel"/>
    <w:tmpl w:val="CD62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B57002"/>
    <w:multiLevelType w:val="hybridMultilevel"/>
    <w:tmpl w:val="968AB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37C4B"/>
    <w:multiLevelType w:val="hybridMultilevel"/>
    <w:tmpl w:val="AFC6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F3330"/>
    <w:multiLevelType w:val="hybridMultilevel"/>
    <w:tmpl w:val="F15E3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E6651"/>
    <w:multiLevelType w:val="hybridMultilevel"/>
    <w:tmpl w:val="484AA74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0F">
      <w:start w:val="1"/>
      <w:numFmt w:val="decimal"/>
      <w:lvlText w:val="%5."/>
      <w:lvlJc w:val="left"/>
      <w:pPr>
        <w:ind w:left="3600" w:hanging="360"/>
      </w:pPr>
    </w:lvl>
    <w:lvl w:ilvl="5" w:tplc="FFFFFFFF">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2F0FA6"/>
    <w:multiLevelType w:val="hybridMultilevel"/>
    <w:tmpl w:val="2848BE70"/>
    <w:lvl w:ilvl="0" w:tplc="0409000F">
      <w:start w:val="1"/>
      <w:numFmt w:val="decimal"/>
      <w:lvlText w:val="%1."/>
      <w:lvlJc w:val="left"/>
      <w:pPr>
        <w:ind w:left="720" w:hanging="360"/>
      </w:pPr>
    </w:lvl>
    <w:lvl w:ilvl="1" w:tplc="76A41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927713">
    <w:abstractNumId w:val="19"/>
  </w:num>
  <w:num w:numId="2" w16cid:durableId="513961019">
    <w:abstractNumId w:val="9"/>
  </w:num>
  <w:num w:numId="3" w16cid:durableId="482819143">
    <w:abstractNumId w:val="17"/>
  </w:num>
  <w:num w:numId="4" w16cid:durableId="2033680198">
    <w:abstractNumId w:val="14"/>
  </w:num>
  <w:num w:numId="5" w16cid:durableId="940717838">
    <w:abstractNumId w:val="4"/>
  </w:num>
  <w:num w:numId="6" w16cid:durableId="1066992627">
    <w:abstractNumId w:val="8"/>
  </w:num>
  <w:num w:numId="7" w16cid:durableId="1102410991">
    <w:abstractNumId w:val="15"/>
  </w:num>
  <w:num w:numId="8" w16cid:durableId="1703045631">
    <w:abstractNumId w:val="12"/>
  </w:num>
  <w:num w:numId="9" w16cid:durableId="774715383">
    <w:abstractNumId w:val="1"/>
  </w:num>
  <w:num w:numId="10" w16cid:durableId="1117218920">
    <w:abstractNumId w:val="0"/>
  </w:num>
  <w:num w:numId="11" w16cid:durableId="881092543">
    <w:abstractNumId w:val="20"/>
  </w:num>
  <w:num w:numId="12" w16cid:durableId="977959117">
    <w:abstractNumId w:val="16"/>
  </w:num>
  <w:num w:numId="13" w16cid:durableId="789280935">
    <w:abstractNumId w:val="7"/>
  </w:num>
  <w:num w:numId="14" w16cid:durableId="2102487896">
    <w:abstractNumId w:val="2"/>
  </w:num>
  <w:num w:numId="15" w16cid:durableId="1564751341">
    <w:abstractNumId w:val="5"/>
  </w:num>
  <w:num w:numId="16" w16cid:durableId="294600477">
    <w:abstractNumId w:val="6"/>
  </w:num>
  <w:num w:numId="17" w16cid:durableId="1911500291">
    <w:abstractNumId w:val="21"/>
  </w:num>
  <w:num w:numId="18" w16cid:durableId="557597114">
    <w:abstractNumId w:val="11"/>
  </w:num>
  <w:num w:numId="19" w16cid:durableId="1749961150">
    <w:abstractNumId w:val="13"/>
  </w:num>
  <w:num w:numId="20" w16cid:durableId="245192645">
    <w:abstractNumId w:val="18"/>
  </w:num>
  <w:num w:numId="21" w16cid:durableId="853417087">
    <w:abstractNumId w:val="3"/>
  </w:num>
  <w:num w:numId="22" w16cid:durableId="757674446">
    <w:abstractNumId w:val="22"/>
  </w:num>
  <w:num w:numId="23" w16cid:durableId="1525512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43"/>
    <w:rsid w:val="000346C3"/>
    <w:rsid w:val="00044264"/>
    <w:rsid w:val="000926C3"/>
    <w:rsid w:val="00095198"/>
    <w:rsid w:val="000A3F0B"/>
    <w:rsid w:val="000C539F"/>
    <w:rsid w:val="00107698"/>
    <w:rsid w:val="00122C2D"/>
    <w:rsid w:val="001367F0"/>
    <w:rsid w:val="00152FE4"/>
    <w:rsid w:val="00153AE5"/>
    <w:rsid w:val="001D70D7"/>
    <w:rsid w:val="001E53D9"/>
    <w:rsid w:val="001F630A"/>
    <w:rsid w:val="002345F8"/>
    <w:rsid w:val="002A6460"/>
    <w:rsid w:val="002A6C52"/>
    <w:rsid w:val="002A7ECF"/>
    <w:rsid w:val="00342DCF"/>
    <w:rsid w:val="00347AC7"/>
    <w:rsid w:val="003B71EC"/>
    <w:rsid w:val="003D4B5E"/>
    <w:rsid w:val="004111E5"/>
    <w:rsid w:val="00415C9A"/>
    <w:rsid w:val="00431BA5"/>
    <w:rsid w:val="004552DD"/>
    <w:rsid w:val="004A3E27"/>
    <w:rsid w:val="004D6CAF"/>
    <w:rsid w:val="00504798"/>
    <w:rsid w:val="00515471"/>
    <w:rsid w:val="00556845"/>
    <w:rsid w:val="0056107F"/>
    <w:rsid w:val="00581585"/>
    <w:rsid w:val="005823D8"/>
    <w:rsid w:val="005D1AC0"/>
    <w:rsid w:val="005D240F"/>
    <w:rsid w:val="005F2F07"/>
    <w:rsid w:val="005F5107"/>
    <w:rsid w:val="006006A0"/>
    <w:rsid w:val="0063060B"/>
    <w:rsid w:val="00654846"/>
    <w:rsid w:val="00670423"/>
    <w:rsid w:val="00680DDD"/>
    <w:rsid w:val="00687BF1"/>
    <w:rsid w:val="006A2B09"/>
    <w:rsid w:val="006A5C82"/>
    <w:rsid w:val="006C6677"/>
    <w:rsid w:val="006F71E0"/>
    <w:rsid w:val="007877E3"/>
    <w:rsid w:val="00793046"/>
    <w:rsid w:val="007C0232"/>
    <w:rsid w:val="007C2BB8"/>
    <w:rsid w:val="007D6DB0"/>
    <w:rsid w:val="007E1128"/>
    <w:rsid w:val="007F220A"/>
    <w:rsid w:val="00877178"/>
    <w:rsid w:val="00886EC0"/>
    <w:rsid w:val="00893479"/>
    <w:rsid w:val="00893D89"/>
    <w:rsid w:val="008A385A"/>
    <w:rsid w:val="008B096D"/>
    <w:rsid w:val="008F7FDB"/>
    <w:rsid w:val="0092696D"/>
    <w:rsid w:val="00936085"/>
    <w:rsid w:val="00954699"/>
    <w:rsid w:val="00963142"/>
    <w:rsid w:val="0098509C"/>
    <w:rsid w:val="0098596B"/>
    <w:rsid w:val="009C1125"/>
    <w:rsid w:val="009F4E7B"/>
    <w:rsid w:val="00A23E3A"/>
    <w:rsid w:val="00A62EB5"/>
    <w:rsid w:val="00AA1626"/>
    <w:rsid w:val="00AE116A"/>
    <w:rsid w:val="00AF0847"/>
    <w:rsid w:val="00B2795C"/>
    <w:rsid w:val="00B42EF8"/>
    <w:rsid w:val="00B6767F"/>
    <w:rsid w:val="00B8284E"/>
    <w:rsid w:val="00BA736D"/>
    <w:rsid w:val="00BD0B8C"/>
    <w:rsid w:val="00BD7186"/>
    <w:rsid w:val="00BE5CF4"/>
    <w:rsid w:val="00C36E24"/>
    <w:rsid w:val="00C440CB"/>
    <w:rsid w:val="00C57D5A"/>
    <w:rsid w:val="00C82501"/>
    <w:rsid w:val="00CD37BA"/>
    <w:rsid w:val="00D03DD7"/>
    <w:rsid w:val="00D07F10"/>
    <w:rsid w:val="00D40243"/>
    <w:rsid w:val="00D55C67"/>
    <w:rsid w:val="00D63900"/>
    <w:rsid w:val="00D70C6C"/>
    <w:rsid w:val="00D92FF8"/>
    <w:rsid w:val="00DC57F4"/>
    <w:rsid w:val="00DF0B35"/>
    <w:rsid w:val="00E22C5F"/>
    <w:rsid w:val="00E456E7"/>
    <w:rsid w:val="00E55BB8"/>
    <w:rsid w:val="00E5642C"/>
    <w:rsid w:val="00E75998"/>
    <w:rsid w:val="00E75A5A"/>
    <w:rsid w:val="00E774B1"/>
    <w:rsid w:val="00EB1139"/>
    <w:rsid w:val="00EE561E"/>
    <w:rsid w:val="00F11B65"/>
    <w:rsid w:val="00F2756C"/>
    <w:rsid w:val="00F50C38"/>
    <w:rsid w:val="00F74C4A"/>
    <w:rsid w:val="00FA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EE6AC"/>
  <w15:docId w15:val="{D566F949-2A08-4B6F-AA69-D3069A08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4A"/>
    <w:pPr>
      <w:ind w:left="720"/>
      <w:contextualSpacing/>
    </w:pPr>
  </w:style>
  <w:style w:type="paragraph" w:styleId="Header">
    <w:name w:val="header"/>
    <w:basedOn w:val="Normal"/>
    <w:link w:val="HeaderChar"/>
    <w:uiPriority w:val="99"/>
    <w:unhideWhenUsed/>
    <w:rsid w:val="0063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0B"/>
  </w:style>
  <w:style w:type="paragraph" w:styleId="Footer">
    <w:name w:val="footer"/>
    <w:basedOn w:val="Normal"/>
    <w:link w:val="FooterChar"/>
    <w:uiPriority w:val="99"/>
    <w:unhideWhenUsed/>
    <w:rsid w:val="0063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0B"/>
  </w:style>
  <w:style w:type="character" w:styleId="PlaceholderText">
    <w:name w:val="Placeholder Text"/>
    <w:basedOn w:val="DefaultParagraphFont"/>
    <w:uiPriority w:val="99"/>
    <w:semiHidden/>
    <w:rsid w:val="0063060B"/>
    <w:rPr>
      <w:color w:val="808080"/>
    </w:rPr>
  </w:style>
  <w:style w:type="paragraph" w:styleId="BalloonText">
    <w:name w:val="Balloon Text"/>
    <w:basedOn w:val="Normal"/>
    <w:link w:val="BalloonTextChar"/>
    <w:uiPriority w:val="99"/>
    <w:semiHidden/>
    <w:unhideWhenUsed/>
    <w:rsid w:val="0063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0B"/>
    <w:rPr>
      <w:rFonts w:ascii="Tahoma" w:hAnsi="Tahoma" w:cs="Tahoma"/>
      <w:sz w:val="16"/>
      <w:szCs w:val="16"/>
    </w:rPr>
  </w:style>
  <w:style w:type="table" w:styleId="TableGrid">
    <w:name w:val="Table Grid"/>
    <w:basedOn w:val="TableNormal"/>
    <w:uiPriority w:val="59"/>
    <w:rsid w:val="0056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9546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9A967B91D4736B6AC9CCDD081F6D7"/>
        <w:category>
          <w:name w:val="General"/>
          <w:gallery w:val="placeholder"/>
        </w:category>
        <w:types>
          <w:type w:val="bbPlcHdr"/>
        </w:types>
        <w:behaviors>
          <w:behavior w:val="content"/>
        </w:behaviors>
        <w:guid w:val="{4410435C-A2E7-4340-8265-780FE0C6D441}"/>
      </w:docPartPr>
      <w:docPartBody>
        <w:p w:rsidR="00AF1D90" w:rsidRDefault="00486D2A" w:rsidP="00486D2A">
          <w:pPr>
            <w:pStyle w:val="A8E9A967B91D4736B6AC9CCDD081F6D7"/>
          </w:pPr>
          <w:r w:rsidRPr="00E0428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6D2A"/>
    <w:rsid w:val="000804F5"/>
    <w:rsid w:val="002D6E3A"/>
    <w:rsid w:val="00486D2A"/>
    <w:rsid w:val="004D79B1"/>
    <w:rsid w:val="004F3888"/>
    <w:rsid w:val="005A6293"/>
    <w:rsid w:val="00683FDD"/>
    <w:rsid w:val="007B28A9"/>
    <w:rsid w:val="009177FE"/>
    <w:rsid w:val="00984D4C"/>
    <w:rsid w:val="00AF1D90"/>
    <w:rsid w:val="00D062D1"/>
    <w:rsid w:val="00E36F5D"/>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D2A"/>
    <w:rPr>
      <w:color w:val="808080"/>
    </w:rPr>
  </w:style>
  <w:style w:type="paragraph" w:customStyle="1" w:styleId="A8E9A967B91D4736B6AC9CCDD081F6D7">
    <w:name w:val="A8E9A967B91D4736B6AC9CCDD081F6D7"/>
    <w:rsid w:val="0048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7</cp:revision>
  <cp:lastPrinted>2016-11-13T19:02:00Z</cp:lastPrinted>
  <dcterms:created xsi:type="dcterms:W3CDTF">2022-10-01T16:44:00Z</dcterms:created>
  <dcterms:modified xsi:type="dcterms:W3CDTF">2022-10-01T19:05:00Z</dcterms:modified>
</cp:coreProperties>
</file>